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right"/>
        <w:rPr>
          <w:i/>
          <w:sz w:val="24"/>
          <w:szCs w:val="24"/>
        </w:rPr>
      </w:pPr>
      <w:bookmarkStart w:id="0" w:name="_GoBack"/>
      <w:bookmarkEnd w:id="0"/>
      <w:r>
        <w:rPr>
          <w:i/>
          <w:sz w:val="24"/>
          <w:szCs w:val="24"/>
        </w:rPr>
        <w:t>Образец оформления статьи</w:t>
      </w:r>
    </w:p>
    <w:p>
      <w:pPr>
        <w:jc w:val="center"/>
        <w:rPr>
          <w:b/>
          <w:sz w:val="24"/>
          <w:szCs w:val="24"/>
        </w:rPr>
      </w:pPr>
      <w:r>
        <w:rPr>
          <w:b/>
          <w:sz w:val="24"/>
          <w:szCs w:val="24"/>
        </w:rPr>
        <w:t>П. Ф. Вдовин</w:t>
      </w:r>
    </w:p>
    <w:p>
      <w:pPr>
        <w:jc w:val="center"/>
        <w:rPr>
          <w:b/>
          <w:sz w:val="12"/>
          <w:szCs w:val="12"/>
        </w:rPr>
      </w:pPr>
    </w:p>
    <w:p>
      <w:pPr>
        <w:jc w:val="center"/>
        <w:rPr>
          <w:sz w:val="24"/>
          <w:szCs w:val="24"/>
        </w:rPr>
      </w:pPr>
      <w:r>
        <w:rPr>
          <w:sz w:val="24"/>
          <w:szCs w:val="24"/>
        </w:rPr>
        <w:t xml:space="preserve">ФГБОУ ВО «Липецкий государственный педагогический университет </w:t>
      </w:r>
    </w:p>
    <w:p>
      <w:pPr>
        <w:jc w:val="center"/>
        <w:rPr>
          <w:sz w:val="24"/>
          <w:szCs w:val="24"/>
        </w:rPr>
      </w:pPr>
      <w:r>
        <w:rPr>
          <w:sz w:val="24"/>
          <w:szCs w:val="24"/>
        </w:rPr>
        <w:t>имени П.П. Семенова Тян-Шанского», г. Липецк, Россия</w:t>
      </w:r>
    </w:p>
    <w:p>
      <w:pPr>
        <w:jc w:val="center"/>
        <w:rPr>
          <w:sz w:val="24"/>
          <w:szCs w:val="24"/>
        </w:rPr>
      </w:pPr>
      <w:r>
        <w:fldChar w:fldCharType="begin"/>
      </w:r>
      <w:r>
        <w:instrText xml:space="preserve"> HYPERLINK "mailto:vdovin135@mail.ru" </w:instrText>
      </w:r>
      <w:r>
        <w:fldChar w:fldCharType="separate"/>
      </w:r>
      <w:r>
        <w:rPr>
          <w:rStyle w:val="6"/>
          <w:sz w:val="24"/>
          <w:szCs w:val="24"/>
          <w:lang w:val="en-US"/>
        </w:rPr>
        <w:t>vdovin</w:t>
      </w:r>
      <w:r>
        <w:rPr>
          <w:rStyle w:val="6"/>
          <w:sz w:val="24"/>
          <w:szCs w:val="24"/>
        </w:rPr>
        <w:t>135@mail.ru</w:t>
      </w:r>
      <w:r>
        <w:rPr>
          <w:rStyle w:val="6"/>
          <w:sz w:val="24"/>
          <w:szCs w:val="24"/>
        </w:rPr>
        <w:fldChar w:fldCharType="end"/>
      </w:r>
    </w:p>
    <w:p>
      <w:pPr>
        <w:ind w:firstLine="357"/>
        <w:jc w:val="center"/>
        <w:rPr>
          <w:sz w:val="24"/>
          <w:szCs w:val="24"/>
        </w:rPr>
      </w:pPr>
    </w:p>
    <w:p>
      <w:pPr>
        <w:spacing w:line="360" w:lineRule="auto"/>
        <w:jc w:val="center"/>
        <w:rPr>
          <w:b/>
          <w:sz w:val="24"/>
          <w:szCs w:val="24"/>
        </w:rPr>
      </w:pPr>
      <w:r>
        <w:rPr>
          <w:b/>
          <w:sz w:val="24"/>
          <w:szCs w:val="24"/>
        </w:rPr>
        <w:t>ОПРЕДЕЛЕНИЕ ВОЗМОЖНОСТЕЙ СОЗДАНИЯ ОПТИЧЕСКОГО КВАНТОВОГО ГЕНЕРАТОРА В ВЫСОКОЧАСТОТНОМ ДИАПАЗОНЕ ВОЛН</w:t>
      </w:r>
    </w:p>
    <w:p>
      <w:pPr>
        <w:spacing w:line="360" w:lineRule="auto"/>
        <w:jc w:val="center"/>
        <w:rPr>
          <w:b/>
          <w:sz w:val="12"/>
          <w:szCs w:val="12"/>
        </w:rPr>
      </w:pPr>
    </w:p>
    <w:p>
      <w:pPr>
        <w:pStyle w:val="17"/>
        <w:spacing w:after="0" w:line="240" w:lineRule="auto"/>
        <w:rPr>
          <w:b w:val="0"/>
        </w:rPr>
      </w:pPr>
      <w:r>
        <w:rPr>
          <w:i/>
        </w:rPr>
        <w:t>Аннотация.</w:t>
      </w:r>
      <w:r>
        <w:t xml:space="preserve"> </w:t>
      </w:r>
      <w:r>
        <w:rPr>
          <w:b w:val="0"/>
        </w:rPr>
        <w:t xml:space="preserve">Рассмотрены этапы освоения курса «Квантовая и оптическая электроника» при подготовке бакалавров направления «Информационная безопасность». Отмечены оптимальные шаги при обучении с целью наиболее эффективного усвоения программы и корреляция с другими разделами учебного плана.  Обоснована необходимость сохранения курса в учебном плане при подготовке специалистов данного направления. </w:t>
      </w:r>
    </w:p>
    <w:p>
      <w:pPr>
        <w:ind w:firstLine="652"/>
        <w:jc w:val="both"/>
        <w:rPr>
          <w:sz w:val="24"/>
          <w:szCs w:val="24"/>
        </w:rPr>
      </w:pPr>
      <w:r>
        <w:rPr>
          <w:b/>
          <w:i/>
          <w:sz w:val="24"/>
          <w:szCs w:val="24"/>
        </w:rPr>
        <w:t>Ключевые слова:</w:t>
      </w:r>
      <w:r>
        <w:rPr>
          <w:b/>
          <w:sz w:val="24"/>
          <w:szCs w:val="24"/>
        </w:rPr>
        <w:t xml:space="preserve"> </w:t>
      </w:r>
      <w:r>
        <w:rPr>
          <w:sz w:val="24"/>
          <w:szCs w:val="24"/>
        </w:rPr>
        <w:t>информационная безопасность, учебный план, электроника, квант, оптика.</w:t>
      </w:r>
    </w:p>
    <w:p>
      <w:pPr>
        <w:ind w:firstLine="652"/>
        <w:jc w:val="both"/>
        <w:rPr>
          <w:sz w:val="10"/>
          <w:szCs w:val="10"/>
        </w:rPr>
      </w:pPr>
    </w:p>
    <w:p>
      <w:pPr>
        <w:ind w:hanging="57"/>
        <w:jc w:val="center"/>
        <w:rPr>
          <w:b/>
          <w:color w:val="000000"/>
          <w:sz w:val="24"/>
          <w:szCs w:val="24"/>
          <w:lang w:val="en-US"/>
        </w:rPr>
      </w:pPr>
      <w:r>
        <w:rPr>
          <w:b/>
          <w:color w:val="000000"/>
          <w:sz w:val="24"/>
          <w:szCs w:val="24"/>
          <w:lang w:val="en-US"/>
        </w:rPr>
        <w:t>P. F. Vdovin</w:t>
      </w:r>
    </w:p>
    <w:p>
      <w:pPr>
        <w:ind w:hanging="57"/>
        <w:jc w:val="center"/>
        <w:rPr>
          <w:b/>
          <w:color w:val="000000"/>
          <w:sz w:val="12"/>
          <w:szCs w:val="12"/>
          <w:lang w:val="en-US"/>
        </w:rPr>
      </w:pPr>
    </w:p>
    <w:p>
      <w:pPr>
        <w:ind w:hanging="57"/>
        <w:jc w:val="center"/>
        <w:rPr>
          <w:color w:val="000000"/>
          <w:sz w:val="24"/>
          <w:szCs w:val="24"/>
          <w:lang w:val="en-US"/>
        </w:rPr>
      </w:pPr>
      <w:r>
        <w:rPr>
          <w:color w:val="000000"/>
          <w:sz w:val="24"/>
          <w:szCs w:val="24"/>
          <w:lang w:val="en-US"/>
        </w:rPr>
        <w:t xml:space="preserve">Lipetsk State Pedagogical University named after P.P. Semenov Tyan-Shansky, Lipetsk, Russia </w:t>
      </w:r>
      <w:r>
        <w:fldChar w:fldCharType="begin"/>
      </w:r>
      <w:r>
        <w:instrText xml:space="preserve"> HYPERLINK "mailto:vdovin135@mail.ru" </w:instrText>
      </w:r>
      <w:r>
        <w:fldChar w:fldCharType="separate"/>
      </w:r>
      <w:r>
        <w:rPr>
          <w:rStyle w:val="6"/>
          <w:sz w:val="24"/>
          <w:szCs w:val="24"/>
          <w:lang w:val="en-US"/>
        </w:rPr>
        <w:t>vdovin135@mail.ru</w:t>
      </w:r>
      <w:r>
        <w:rPr>
          <w:rStyle w:val="6"/>
          <w:sz w:val="24"/>
          <w:szCs w:val="24"/>
          <w:lang w:val="en-US"/>
        </w:rPr>
        <w:fldChar w:fldCharType="end"/>
      </w:r>
    </w:p>
    <w:p>
      <w:pPr>
        <w:ind w:firstLine="652"/>
        <w:jc w:val="both"/>
        <w:rPr>
          <w:sz w:val="24"/>
          <w:szCs w:val="24"/>
          <w:lang w:val="en-US"/>
        </w:rPr>
      </w:pPr>
    </w:p>
    <w:p>
      <w:pPr>
        <w:jc w:val="center"/>
        <w:rPr>
          <w:b/>
          <w:sz w:val="24"/>
          <w:szCs w:val="24"/>
          <w:lang w:val="en-US"/>
        </w:rPr>
      </w:pPr>
      <w:r>
        <w:rPr>
          <w:b/>
          <w:color w:val="000000"/>
          <w:sz w:val="24"/>
          <w:szCs w:val="24"/>
          <w:lang w:val="en-US"/>
        </w:rPr>
        <w:t>DETERMINATION OF THE POSSIBILITIES OF CREATING AN OPTICAL QUANTUM GENERATOR IN THE HIGH-FREQUENCY WAVE RANGE</w:t>
      </w:r>
    </w:p>
    <w:p>
      <w:pPr>
        <w:ind w:firstLine="652"/>
        <w:jc w:val="both"/>
        <w:rPr>
          <w:sz w:val="24"/>
          <w:szCs w:val="24"/>
          <w:lang w:val="en-US"/>
        </w:rPr>
      </w:pPr>
    </w:p>
    <w:p>
      <w:pPr>
        <w:pStyle w:val="17"/>
        <w:spacing w:after="0" w:line="240" w:lineRule="auto"/>
        <w:rPr>
          <w:sz w:val="8"/>
          <w:szCs w:val="8"/>
          <w:lang w:val="en-US"/>
        </w:rPr>
      </w:pPr>
    </w:p>
    <w:p>
      <w:pPr>
        <w:pStyle w:val="17"/>
        <w:spacing w:after="0" w:line="240" w:lineRule="auto"/>
        <w:rPr>
          <w:b w:val="0"/>
          <w:lang w:val="en-US"/>
        </w:rPr>
      </w:pPr>
      <w:r>
        <w:rPr>
          <w:i/>
          <w:lang w:val="en-US"/>
        </w:rPr>
        <w:t>Abstract.</w:t>
      </w:r>
      <w:r>
        <w:rPr>
          <w:lang w:val="en-US"/>
        </w:rPr>
        <w:t xml:space="preserve"> </w:t>
      </w:r>
      <w:r>
        <w:rPr>
          <w:b w:val="0"/>
          <w:lang w:val="en-US"/>
        </w:rPr>
        <w:t>The stages of mastering the course “Quantum and optical electronics” in the preparation of bachelors in the field of “Information Security” are considered. The optimal steps in teaching are noted with the aim of the most effective assimilation of the program and correlation with other sections of the curriculum. The necessity of maintaining the course in the curriculum during the training of specialists in this field is substantiated.</w:t>
      </w:r>
    </w:p>
    <w:p>
      <w:pPr>
        <w:ind w:left="0" w:firstLine="709"/>
        <w:rPr>
          <w:color w:val="000000"/>
          <w:sz w:val="24"/>
          <w:szCs w:val="24"/>
          <w:lang w:val="en-US"/>
        </w:rPr>
      </w:pPr>
      <w:r>
        <w:rPr>
          <w:rStyle w:val="20"/>
          <w:rFonts w:eastAsiaTheme="minorHAnsi"/>
          <w:i/>
          <w:lang w:val="en-US"/>
        </w:rPr>
        <w:t>Keywords:</w:t>
      </w:r>
      <w:r>
        <w:rPr>
          <w:sz w:val="24"/>
          <w:szCs w:val="24"/>
          <w:lang w:val="en-US"/>
        </w:rPr>
        <w:t xml:space="preserve"> </w:t>
      </w:r>
      <w:r>
        <w:rPr>
          <w:color w:val="000000"/>
          <w:sz w:val="24"/>
          <w:szCs w:val="24"/>
          <w:lang w:val="en-US"/>
        </w:rPr>
        <w:t>information security, curriculum, electronics, quantum, optics.</w:t>
      </w:r>
    </w:p>
    <w:p>
      <w:pPr>
        <w:ind w:left="0" w:firstLine="709"/>
        <w:rPr>
          <w:b/>
          <w:sz w:val="24"/>
          <w:szCs w:val="24"/>
          <w:lang w:val="en-US"/>
        </w:rPr>
      </w:pPr>
    </w:p>
    <w:p>
      <w:pPr>
        <w:spacing w:after="120"/>
        <w:ind w:firstLine="709"/>
        <w:jc w:val="both"/>
        <w:rPr>
          <w:sz w:val="24"/>
          <w:szCs w:val="24"/>
        </w:rPr>
      </w:pPr>
      <w:r>
        <w:rPr>
          <w:sz w:val="24"/>
          <w:szCs w:val="24"/>
        </w:rPr>
        <w:t>Развитие нефтегазового комплекса в России является одним из приоритетных направлений в экономике страны. Нефть и газ относятся к более конкурентоспособным отечественным товарам, и все еще находятся на лидирующих позициях спроса у мировых потребителей. Для контроля качества нефтепродуктов часто используют метод газовой хроматографии, который в наше время считается наиболее распространенным физико-химическим методом исследования. С помощью данного метода решается весьма обширный круг аналитических задач нефтеперерабатывающей промышленности.  [1, 3]</w:t>
      </w:r>
    </w:p>
    <w:p>
      <w:pPr>
        <w:spacing w:before="60" w:line="360" w:lineRule="auto"/>
        <w:jc w:val="center"/>
        <w:rPr>
          <w:sz w:val="24"/>
          <w:szCs w:val="24"/>
        </w:rPr>
      </w:pPr>
      <w:r>
        <w:rPr>
          <w:sz w:val="24"/>
          <w:szCs w:val="24"/>
          <w:lang w:eastAsia="ru-RU"/>
        </w:rPr>
        <w:drawing>
          <wp:inline distT="0" distB="0" distL="0" distR="0">
            <wp:extent cx="3260725" cy="15144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t="12090" b="5180"/>
                    <a:stretch>
                      <a:fillRect/>
                    </a:stretch>
                  </pic:blipFill>
                  <pic:spPr>
                    <a:xfrm>
                      <a:off x="0" y="0"/>
                      <a:ext cx="3270421" cy="1518772"/>
                    </a:xfrm>
                    <a:prstGeom prst="rect">
                      <a:avLst/>
                    </a:prstGeom>
                    <a:noFill/>
                    <a:ln>
                      <a:noFill/>
                    </a:ln>
                  </pic:spPr>
                </pic:pic>
              </a:graphicData>
            </a:graphic>
          </wp:inline>
        </w:drawing>
      </w:r>
    </w:p>
    <w:p>
      <w:pPr>
        <w:spacing w:before="60" w:line="360" w:lineRule="auto"/>
        <w:jc w:val="center"/>
        <w:rPr>
          <w:sz w:val="24"/>
          <w:szCs w:val="24"/>
        </w:rPr>
      </w:pPr>
      <w:r>
        <w:rPr>
          <w:sz w:val="24"/>
          <w:szCs w:val="24"/>
        </w:rPr>
        <w:t>Рисунок 1 – Внешний вид окна лабораторной работы на сайте distolymp2.spbu.ru</w:t>
      </w:r>
    </w:p>
    <w:p>
      <w:pPr>
        <w:ind w:firstLine="709"/>
        <w:rPr>
          <w:sz w:val="24"/>
          <w:szCs w:val="24"/>
        </w:rPr>
      </w:pPr>
    </w:p>
    <w:p>
      <w:pPr>
        <w:ind w:firstLine="709"/>
        <w:rPr>
          <w:sz w:val="24"/>
          <w:szCs w:val="24"/>
        </w:rPr>
      </w:pPr>
      <w:r>
        <w:rPr>
          <w:sz w:val="24"/>
          <w:szCs w:val="24"/>
        </w:rPr>
        <w:t>ЛИТЕРАТУРА</w:t>
      </w:r>
    </w:p>
    <w:p>
      <w:pPr>
        <w:ind w:firstLine="358"/>
        <w:rPr>
          <w:sz w:val="16"/>
          <w:szCs w:val="16"/>
        </w:rPr>
      </w:pPr>
    </w:p>
    <w:p>
      <w:pPr>
        <w:numPr>
          <w:ilvl w:val="0"/>
          <w:numId w:val="1"/>
        </w:numPr>
        <w:tabs>
          <w:tab w:val="left" w:pos="426"/>
        </w:tabs>
        <w:ind w:left="426" w:right="0" w:hanging="426"/>
        <w:contextualSpacing/>
        <w:jc w:val="both"/>
        <w:rPr>
          <w:sz w:val="24"/>
          <w:szCs w:val="24"/>
        </w:rPr>
      </w:pPr>
      <w:r>
        <w:rPr>
          <w:sz w:val="24"/>
          <w:szCs w:val="24"/>
        </w:rPr>
        <w:t xml:space="preserve">Лышко, Г. П. Нефтепродукты и технические жидкости / Г. П. Лышко. − М.: Агропромиздат, 1988. − 144 с. </w:t>
      </w:r>
    </w:p>
    <w:p>
      <w:pPr>
        <w:pStyle w:val="10"/>
        <w:numPr>
          <w:ilvl w:val="0"/>
          <w:numId w:val="1"/>
        </w:numPr>
        <w:ind w:left="426" w:right="0" w:hanging="426"/>
        <w:jc w:val="both"/>
        <w:rPr>
          <w:rFonts w:eastAsia="Times New Roman"/>
          <w:sz w:val="24"/>
          <w:szCs w:val="24"/>
          <w:lang w:eastAsia="ru-RU"/>
        </w:rPr>
      </w:pPr>
      <w:r>
        <w:rPr>
          <w:rFonts w:eastAsia="Times New Roman"/>
          <w:sz w:val="24"/>
          <w:szCs w:val="24"/>
          <w:lang w:eastAsia="ru-RU"/>
        </w:rPr>
        <w:t>Бадиков, А. В. Системы контроля и управления доступом: Лабораторный практикум / А. В. Бадиков, П. В.  Бондарев</w:t>
      </w:r>
      <w:r>
        <w:rPr>
          <w:rFonts w:eastAsia="Times New Roman"/>
          <w:sz w:val="24"/>
          <w:szCs w:val="24"/>
          <w:lang w:val="en-US" w:eastAsia="ru-RU"/>
        </w:rPr>
        <w:t xml:space="preserve"> </w:t>
      </w:r>
      <w:r>
        <w:rPr>
          <w:rFonts w:eastAsia="Times New Roman"/>
          <w:sz w:val="24"/>
          <w:szCs w:val="24"/>
          <w:lang w:eastAsia="ru-RU"/>
        </w:rPr>
        <w:t>– М.: НИЯУ МИФИ, 2010. – 128 с.</w:t>
      </w:r>
    </w:p>
    <w:p>
      <w:pPr>
        <w:numPr>
          <w:ilvl w:val="0"/>
          <w:numId w:val="1"/>
        </w:numPr>
        <w:tabs>
          <w:tab w:val="left" w:pos="426"/>
        </w:tabs>
        <w:ind w:left="426" w:right="0" w:hanging="426"/>
        <w:contextualSpacing/>
        <w:jc w:val="both"/>
        <w:rPr>
          <w:sz w:val="24"/>
          <w:szCs w:val="24"/>
        </w:rPr>
      </w:pPr>
      <w:r>
        <w:rPr>
          <w:sz w:val="24"/>
          <w:szCs w:val="24"/>
        </w:rPr>
        <w:t xml:space="preserve">Федеральная служба по надзору в сфере защиты прав потребителей и благополучия   человека [Электронный ресурс]. – </w:t>
      </w:r>
      <w:r>
        <w:rPr>
          <w:sz w:val="24"/>
          <w:szCs w:val="24"/>
          <w:shd w:val="clear" w:color="auto" w:fill="FFFFFF"/>
          <w:lang w:val="en-US"/>
        </w:rPr>
        <w:t>URL</w:t>
      </w:r>
      <w:r>
        <w:rPr>
          <w:sz w:val="24"/>
          <w:szCs w:val="24"/>
        </w:rPr>
        <w:t xml:space="preserve">:  </w:t>
      </w:r>
      <w:r>
        <w:fldChar w:fldCharType="begin"/>
      </w:r>
      <w:r>
        <w:instrText xml:space="preserve"> HYPERLINK "https://www.rospotrebnadzor.ru" </w:instrText>
      </w:r>
      <w:r>
        <w:fldChar w:fldCharType="separate"/>
      </w:r>
      <w:r>
        <w:rPr>
          <w:rStyle w:val="6"/>
          <w:sz w:val="24"/>
          <w:szCs w:val="24"/>
          <w:lang w:val="en-US"/>
        </w:rPr>
        <w:t>https</w:t>
      </w:r>
      <w:r>
        <w:rPr>
          <w:rStyle w:val="6"/>
          <w:sz w:val="24"/>
          <w:szCs w:val="24"/>
        </w:rPr>
        <w:t>://</w:t>
      </w:r>
      <w:r>
        <w:rPr>
          <w:rStyle w:val="6"/>
          <w:sz w:val="24"/>
          <w:szCs w:val="24"/>
          <w:lang w:val="en-US"/>
        </w:rPr>
        <w:t>www</w:t>
      </w:r>
      <w:r>
        <w:rPr>
          <w:rStyle w:val="6"/>
          <w:sz w:val="24"/>
          <w:szCs w:val="24"/>
        </w:rPr>
        <w:t>.</w:t>
      </w:r>
      <w:r>
        <w:rPr>
          <w:rStyle w:val="6"/>
          <w:sz w:val="24"/>
          <w:szCs w:val="24"/>
          <w:lang w:val="en-US"/>
        </w:rPr>
        <w:t>rospotrebnadzor</w:t>
      </w:r>
      <w:r>
        <w:rPr>
          <w:rStyle w:val="6"/>
          <w:sz w:val="24"/>
          <w:szCs w:val="24"/>
        </w:rPr>
        <w:t>.</w:t>
      </w:r>
      <w:r>
        <w:rPr>
          <w:rStyle w:val="6"/>
          <w:sz w:val="24"/>
          <w:szCs w:val="24"/>
          <w:lang w:val="en-US"/>
        </w:rPr>
        <w:t>ru</w:t>
      </w:r>
      <w:r>
        <w:rPr>
          <w:rStyle w:val="6"/>
          <w:sz w:val="24"/>
          <w:szCs w:val="24"/>
          <w:lang w:val="en-US"/>
        </w:rPr>
        <w:fldChar w:fldCharType="end"/>
      </w:r>
      <w:r>
        <w:rPr>
          <w:sz w:val="24"/>
          <w:szCs w:val="24"/>
        </w:rPr>
        <w:t xml:space="preserve"> (дата обращения: 12.05.2021). </w:t>
      </w:r>
    </w:p>
    <w:p>
      <w:pPr>
        <w:numPr>
          <w:ilvl w:val="0"/>
          <w:numId w:val="1"/>
        </w:numPr>
        <w:pBdr>
          <w:top w:val="none" w:color="auto" w:sz="0" w:space="0"/>
          <w:left w:val="none" w:color="auto" w:sz="0" w:space="0"/>
          <w:bottom w:val="none" w:color="auto" w:sz="0" w:space="0"/>
          <w:right w:val="none" w:color="auto" w:sz="0" w:space="0"/>
          <w:between w:val="none" w:color="auto" w:sz="0" w:space="0"/>
        </w:pBdr>
        <w:tabs>
          <w:tab w:val="left" w:pos="567"/>
        </w:tabs>
        <w:ind w:left="426" w:right="0"/>
        <w:jc w:val="both"/>
        <w:rPr>
          <w:color w:val="000000"/>
          <w:sz w:val="24"/>
          <w:szCs w:val="24"/>
        </w:rPr>
      </w:pPr>
      <w:r>
        <w:rPr>
          <w:color w:val="000000"/>
          <w:sz w:val="24"/>
          <w:szCs w:val="24"/>
        </w:rPr>
        <w:t xml:space="preserve">Смирнова, И. Н. Педагогические инновации на уроках информатики посредством реализации технологии творческих мастерских / И. Н. Смирнова, В. А. Чернышова // Образование XXI века в ситуации неопределенности: традиционализм, инноватика, многовекторность развития: материалы Всероссийской научной конференции с международным участием (г. Липецк, 20 октября 2020 г.). – Липецк: ЛГПУ имени П.П. Семенова-Тян-Шанского, 2020. – С. 69-72. </w:t>
      </w:r>
    </w:p>
    <w:p>
      <w:pPr>
        <w:numPr>
          <w:ilvl w:val="0"/>
          <w:numId w:val="1"/>
        </w:numPr>
        <w:tabs>
          <w:tab w:val="left" w:pos="426"/>
        </w:tabs>
        <w:suppressAutoHyphens/>
        <w:ind w:left="426" w:right="0"/>
        <w:jc w:val="both"/>
        <w:rPr>
          <w:bCs/>
          <w:sz w:val="24"/>
          <w:szCs w:val="24"/>
        </w:rPr>
      </w:pPr>
      <w:r>
        <w:rPr>
          <w:bCs/>
          <w:sz w:val="24"/>
          <w:szCs w:val="24"/>
        </w:rPr>
        <w:t xml:space="preserve">Байкова, Л. А.  Технология игровой деятельности:  учебное  пособие  / Л. А.  Байкова, </w:t>
      </w:r>
    </w:p>
    <w:p>
      <w:pPr>
        <w:tabs>
          <w:tab w:val="left" w:pos="426"/>
        </w:tabs>
        <w:suppressAutoHyphens/>
        <w:ind w:left="426" w:right="0"/>
        <w:jc w:val="both"/>
        <w:rPr>
          <w:bCs/>
          <w:sz w:val="24"/>
          <w:szCs w:val="24"/>
        </w:rPr>
      </w:pPr>
      <w:r>
        <w:rPr>
          <w:bCs/>
          <w:sz w:val="24"/>
          <w:szCs w:val="24"/>
        </w:rPr>
        <w:t xml:space="preserve">Л. К. Гребенкина, О. В. Еремкина. – Рязань: Изд-во РГПУ, 1994. – 230 c. </w:t>
      </w:r>
    </w:p>
    <w:p>
      <w:pPr>
        <w:pStyle w:val="10"/>
        <w:numPr>
          <w:ilvl w:val="0"/>
          <w:numId w:val="1"/>
        </w:numPr>
        <w:ind w:left="426" w:right="0"/>
        <w:jc w:val="both"/>
        <w:rPr>
          <w:sz w:val="24"/>
          <w:szCs w:val="24"/>
          <w:lang w:val="en-US" w:eastAsia="ru-RU"/>
        </w:rPr>
      </w:pPr>
      <w:r>
        <w:rPr>
          <w:sz w:val="24"/>
          <w:szCs w:val="24"/>
          <w:lang w:val="en-US"/>
        </w:rPr>
        <w:t xml:space="preserve">Bulletin Trimestriel des Statistiques – </w:t>
      </w:r>
      <w:r>
        <w:rPr>
          <w:sz w:val="24"/>
          <w:szCs w:val="24"/>
          <w:lang w:val="en-US" w:eastAsia="ru-RU"/>
        </w:rPr>
        <w:t xml:space="preserve">URL: </w:t>
      </w:r>
      <w:r>
        <w:fldChar w:fldCharType="begin"/>
      </w:r>
      <w:r>
        <w:instrText xml:space="preserve"> HYPERLINK "https://www.bceao.int/sites/default/files/2023-03/Rapport%25" </w:instrText>
      </w:r>
      <w:r>
        <w:fldChar w:fldCharType="separate"/>
      </w:r>
      <w:r>
        <w:rPr>
          <w:rStyle w:val="6"/>
          <w:sz w:val="24"/>
          <w:szCs w:val="24"/>
          <w:lang w:val="en-US" w:eastAsia="ru-RU"/>
        </w:rPr>
        <w:t>https://www.bceao.int/sites/default/files/2023-03/Rapport%</w:t>
      </w:r>
      <w:r>
        <w:rPr>
          <w:rStyle w:val="6"/>
          <w:sz w:val="24"/>
          <w:szCs w:val="24"/>
          <w:lang w:val="en-US" w:eastAsia="ru-RU"/>
        </w:rPr>
        <w:fldChar w:fldCharType="end"/>
      </w:r>
      <w:r>
        <w:rPr>
          <w:rStyle w:val="6"/>
          <w:color w:val="auto"/>
          <w:sz w:val="24"/>
          <w:szCs w:val="24"/>
          <w:u w:val="none"/>
          <w:lang w:val="en-US" w:eastAsia="ru-RU"/>
        </w:rPr>
        <w:t xml:space="preserve">  </w:t>
      </w:r>
      <w:r>
        <w:rPr>
          <w:sz w:val="24"/>
          <w:szCs w:val="24"/>
          <w:lang w:val="en-US"/>
        </w:rPr>
        <w:t>(</w:t>
      </w:r>
      <w:r>
        <w:rPr>
          <w:sz w:val="24"/>
          <w:szCs w:val="24"/>
        </w:rPr>
        <w:t>дата</w:t>
      </w:r>
      <w:r>
        <w:rPr>
          <w:sz w:val="24"/>
          <w:szCs w:val="24"/>
          <w:lang w:val="en-US"/>
        </w:rPr>
        <w:t xml:space="preserve"> </w:t>
      </w:r>
      <w:r>
        <w:rPr>
          <w:sz w:val="24"/>
          <w:szCs w:val="24"/>
        </w:rPr>
        <w:t>обращения</w:t>
      </w:r>
      <w:r>
        <w:rPr>
          <w:sz w:val="24"/>
          <w:szCs w:val="24"/>
          <w:lang w:val="en-US"/>
        </w:rPr>
        <w:t xml:space="preserve">: </w:t>
      </w:r>
      <w:r>
        <w:rPr>
          <w:sz w:val="24"/>
          <w:szCs w:val="24"/>
          <w:lang w:val="en-US" w:eastAsia="ru-RU"/>
        </w:rPr>
        <w:t>03.04.2023</w:t>
      </w:r>
      <w:r>
        <w:rPr>
          <w:sz w:val="24"/>
          <w:szCs w:val="24"/>
          <w:lang w:val="en-US"/>
        </w:rPr>
        <w:t xml:space="preserve">). </w:t>
      </w:r>
    </w:p>
    <w:p>
      <w:pPr>
        <w:pStyle w:val="10"/>
        <w:numPr>
          <w:ilvl w:val="0"/>
          <w:numId w:val="1"/>
        </w:numPr>
        <w:ind w:left="426" w:right="0"/>
        <w:jc w:val="both"/>
        <w:rPr>
          <w:sz w:val="24"/>
          <w:szCs w:val="24"/>
          <w:lang w:val="en-US" w:eastAsia="ru-RU"/>
        </w:rPr>
      </w:pPr>
      <w:r>
        <w:rPr>
          <w:sz w:val="24"/>
          <w:szCs w:val="24"/>
          <w:lang w:val="en-US"/>
        </w:rPr>
        <w:t xml:space="preserve">Présentation de la BCEAO. – </w:t>
      </w:r>
      <w:r>
        <w:rPr>
          <w:sz w:val="24"/>
          <w:szCs w:val="24"/>
          <w:lang w:val="en-US" w:eastAsia="ru-RU"/>
        </w:rPr>
        <w:t xml:space="preserve">URL: </w:t>
      </w:r>
      <w:r>
        <w:fldChar w:fldCharType="begin"/>
      </w:r>
      <w:r>
        <w:instrText xml:space="preserve"> HYPERLINK "https://www.bceao.int/fr/content/presentation-de-la-bceao" </w:instrText>
      </w:r>
      <w:r>
        <w:fldChar w:fldCharType="separate"/>
      </w:r>
      <w:r>
        <w:rPr>
          <w:rStyle w:val="6"/>
          <w:sz w:val="24"/>
          <w:szCs w:val="24"/>
          <w:lang w:val="en-US" w:eastAsia="ru-RU"/>
        </w:rPr>
        <w:t>https://www.bceao.int/fr/content/presentation-de-la-bceao</w:t>
      </w:r>
      <w:r>
        <w:rPr>
          <w:rStyle w:val="6"/>
          <w:sz w:val="24"/>
          <w:szCs w:val="24"/>
          <w:lang w:val="en-US" w:eastAsia="ru-RU"/>
        </w:rPr>
        <w:fldChar w:fldCharType="end"/>
      </w:r>
      <w:r>
        <w:rPr>
          <w:rStyle w:val="6"/>
          <w:color w:val="auto"/>
          <w:sz w:val="24"/>
          <w:szCs w:val="24"/>
          <w:u w:val="none"/>
          <w:lang w:val="en-US" w:eastAsia="ru-RU"/>
        </w:rPr>
        <w:t xml:space="preserve"> </w:t>
      </w:r>
      <w:r>
        <w:rPr>
          <w:sz w:val="24"/>
          <w:szCs w:val="24"/>
          <w:lang w:val="en-US"/>
        </w:rPr>
        <w:t>(</w:t>
      </w:r>
      <w:r>
        <w:rPr>
          <w:sz w:val="24"/>
          <w:szCs w:val="24"/>
        </w:rPr>
        <w:t>дата</w:t>
      </w:r>
      <w:r>
        <w:rPr>
          <w:sz w:val="24"/>
          <w:szCs w:val="24"/>
          <w:lang w:val="en-US"/>
        </w:rPr>
        <w:t xml:space="preserve"> </w:t>
      </w:r>
      <w:r>
        <w:rPr>
          <w:sz w:val="24"/>
          <w:szCs w:val="24"/>
        </w:rPr>
        <w:t>обращения</w:t>
      </w:r>
      <w:r>
        <w:rPr>
          <w:sz w:val="24"/>
          <w:szCs w:val="24"/>
          <w:lang w:val="en-US"/>
        </w:rPr>
        <w:t xml:space="preserve">: </w:t>
      </w:r>
      <w:r>
        <w:rPr>
          <w:sz w:val="24"/>
          <w:szCs w:val="24"/>
          <w:lang w:val="en-US" w:eastAsia="ru-RU"/>
        </w:rPr>
        <w:t>04.04.2023</w:t>
      </w:r>
      <w:r>
        <w:rPr>
          <w:sz w:val="24"/>
          <w:szCs w:val="24"/>
          <w:lang w:val="en-US"/>
        </w:rPr>
        <w:t>).</w:t>
      </w:r>
    </w:p>
    <w:p>
      <w:pPr>
        <w:tabs>
          <w:tab w:val="left" w:pos="426"/>
        </w:tabs>
        <w:ind w:left="66" w:right="0"/>
        <w:contextualSpacing/>
        <w:jc w:val="both"/>
        <w:rPr>
          <w:sz w:val="24"/>
          <w:szCs w:val="24"/>
          <w:lang w:val="en-US"/>
        </w:rPr>
      </w:pPr>
    </w:p>
    <w:p>
      <w:pPr>
        <w:ind w:firstLine="709"/>
        <w:contextualSpacing/>
        <w:jc w:val="both"/>
        <w:rPr>
          <w:sz w:val="24"/>
          <w:szCs w:val="24"/>
          <w:lang w:val="en-US"/>
        </w:rPr>
      </w:pPr>
    </w:p>
    <w:p>
      <w:pPr>
        <w:rPr>
          <w:lang w:val="en-US"/>
        </w:rPr>
      </w:pPr>
      <w:r>
        <w:rPr>
          <w:lang w:val="en-US"/>
        </w:rPr>
        <w:t xml:space="preserve"> </w:t>
      </w:r>
    </w:p>
    <w:sectPr>
      <w:pgSz w:w="11906" w:h="16838"/>
      <w:pgMar w:top="1134" w:right="1134" w:bottom="584" w:left="1134" w:header="708" w:footer="706"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altName w:val="Nimbus Roman No9 L"/>
    <w:panose1 w:val="020B0604020202020204"/>
    <w:charset w:val="00"/>
    <w:family w:val="swiss"/>
    <w:pitch w:val="default"/>
    <w:sig w:usb0="E0002EFF" w:usb1="C0007843" w:usb2="00000009" w:usb3="00000000" w:csb0="400001FF" w:csb1="FFFF0000"/>
  </w:font>
  <w:font w:name="Courier New">
    <w:altName w:val="DejaVu Sans"/>
    <w:panose1 w:val="02070309020205020404"/>
    <w:charset w:val="00"/>
    <w:family w:val="modern"/>
    <w:pitch w:val="default"/>
    <w:sig w:usb0="E0002EFF" w:usb1="C0007843" w:usb2="00000009" w:usb3="00000000" w:csb0="400001FF" w:csb1="FFFF0000"/>
  </w:font>
  <w:font w:name="DejaVu Sans">
    <w:panose1 w:val="020B0606030804020204"/>
    <w:charset w:val="00"/>
    <w:family w:val="auto"/>
    <w:pitch w:val="default"/>
    <w:sig w:usb0="E7006EFF" w:usb1="D200FDFF" w:usb2="0A246029" w:usb3="0400200C" w:csb0="600001FF" w:csb1="DFFF0000"/>
  </w:font>
  <w:font w:name="黑体">
    <w:altName w:val="Droid Sans Fallback"/>
    <w:panose1 w:val="02010609060101010101"/>
    <w:charset w:val="00"/>
    <w:family w:val="modern"/>
    <w:pitch w:val="default"/>
    <w:sig w:usb0="800002BF" w:usb1="38CF7CFA" w:usb2="00000016" w:usb3="00000000" w:csb0="00040001" w:csb1="00000000"/>
  </w:font>
  <w:font w:name="Wingdings">
    <w:altName w:val="EB Garamond 12"/>
    <w:panose1 w:val="05000000000000000000"/>
    <w:charset w:val="00"/>
    <w:family w:val="auto"/>
    <w:pitch w:val="default"/>
    <w:sig w:usb0="00000000" w:usb1="00000000" w:usb2="00000000" w:usb3="00000000" w:csb0="80000000" w:csb1="00000000"/>
  </w:font>
  <w:font w:name="EB Garamond 12">
    <w:panose1 w:val="02020502060206020403"/>
    <w:charset w:val="00"/>
    <w:family w:val="auto"/>
    <w:pitch w:val="default"/>
    <w:sig w:usb0="E00002FF" w:usb1="5000E4FF" w:usb2="00000028" w:usb3="00000000" w:csb0="0000019F" w:csb1="00000000"/>
  </w:font>
  <w:font w:name="Calibri">
    <w:altName w:val="DejaVu San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0000000000000000000"/>
    <w:charset w:val="00"/>
    <w:family w:val="auto"/>
    <w:pitch w:val="default"/>
    <w:sig w:usb0="00000000" w:usb1="00000000" w:usb2="00000000" w:usb3="00000000" w:csb0="00000000" w:csb1="00000000"/>
  </w:font>
  <w:font w:name="Calibri Light">
    <w:altName w:val="DejaVu Sans"/>
    <w:panose1 w:val="020F0302020204030204"/>
    <w:charset w:val="CC"/>
    <w:family w:val="swiss"/>
    <w:pitch w:val="default"/>
    <w:sig w:usb0="00000000" w:usb1="00000000" w:usb2="00000009" w:usb3="00000000" w:csb0="000001FF" w:csb1="00000000"/>
  </w:font>
  <w:font w:name="等线 Light">
    <w:altName w:val="Comfortaa Light"/>
    <w:panose1 w:val="00000000000000000000"/>
    <w:charset w:val="00"/>
    <w:family w:val="auto"/>
    <w:pitch w:val="default"/>
    <w:sig w:usb0="00000000" w:usb1="00000000" w:usb2="00000000" w:usb3="00000000" w:csb0="00000000" w:csb1="00000000"/>
  </w:font>
  <w:font w:name="Comfortaa Light">
    <w:panose1 w:val="00000400000000000000"/>
    <w:charset w:val="00"/>
    <w:family w:val="auto"/>
    <w:pitch w:val="default"/>
    <w:sig w:usb0="20000287" w:usb1="00000002" w:usb2="00000000" w:usb3="00000000" w:csb0="2000019F" w:csb1="00000000"/>
  </w:font>
  <w:font w:name="Tahoma">
    <w:altName w:val="DejaVu Sans"/>
    <w:panose1 w:val="020B0604030504040204"/>
    <w:charset w:val="00"/>
    <w:family w:val="swiss"/>
    <w:pitch w:val="default"/>
    <w:sig w:usb0="00000000" w:usb1="00000000" w:usb2="00000000" w:usb3="00000000" w:csb0="00000001" w:csb1="00000000"/>
  </w:font>
  <w:font w:name="Calibri Light">
    <w:altName w:val="DejaVu Sans"/>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0F60C7"/>
    <w:multiLevelType w:val="multilevel"/>
    <w:tmpl w:val="680F60C7"/>
    <w:lvl w:ilvl="0" w:tentative="0">
      <w:start w:val="1"/>
      <w:numFmt w:val="decimal"/>
      <w:lvlText w:val="%1."/>
      <w:lvlJc w:val="left"/>
      <w:pPr>
        <w:ind w:left="1352" w:hanging="360"/>
      </w:pPr>
    </w:lvl>
    <w:lvl w:ilvl="1" w:tentative="0">
      <w:start w:val="1"/>
      <w:numFmt w:val="lowerLetter"/>
      <w:lvlText w:val="%2."/>
      <w:lvlJc w:val="left"/>
      <w:pPr>
        <w:ind w:left="2072" w:hanging="360"/>
      </w:pPr>
    </w:lvl>
    <w:lvl w:ilvl="2" w:tentative="0">
      <w:start w:val="1"/>
      <w:numFmt w:val="lowerRoman"/>
      <w:lvlText w:val="%3."/>
      <w:lvlJc w:val="right"/>
      <w:pPr>
        <w:ind w:left="2792" w:hanging="180"/>
      </w:pPr>
    </w:lvl>
    <w:lvl w:ilvl="3" w:tentative="0">
      <w:start w:val="1"/>
      <w:numFmt w:val="decimal"/>
      <w:lvlText w:val="%4."/>
      <w:lvlJc w:val="left"/>
      <w:pPr>
        <w:ind w:left="3512" w:hanging="360"/>
      </w:pPr>
    </w:lvl>
    <w:lvl w:ilvl="4" w:tentative="0">
      <w:start w:val="1"/>
      <w:numFmt w:val="lowerLetter"/>
      <w:lvlText w:val="%5."/>
      <w:lvlJc w:val="left"/>
      <w:pPr>
        <w:ind w:left="4232" w:hanging="360"/>
      </w:pPr>
    </w:lvl>
    <w:lvl w:ilvl="5" w:tentative="0">
      <w:start w:val="1"/>
      <w:numFmt w:val="lowerRoman"/>
      <w:lvlText w:val="%6."/>
      <w:lvlJc w:val="right"/>
      <w:pPr>
        <w:ind w:left="4952" w:hanging="180"/>
      </w:pPr>
    </w:lvl>
    <w:lvl w:ilvl="6" w:tentative="0">
      <w:start w:val="1"/>
      <w:numFmt w:val="decimal"/>
      <w:lvlText w:val="%7."/>
      <w:lvlJc w:val="left"/>
      <w:pPr>
        <w:ind w:left="5672" w:hanging="360"/>
      </w:pPr>
    </w:lvl>
    <w:lvl w:ilvl="7" w:tentative="0">
      <w:start w:val="1"/>
      <w:numFmt w:val="lowerLetter"/>
      <w:lvlText w:val="%8."/>
      <w:lvlJc w:val="left"/>
      <w:pPr>
        <w:ind w:left="6392" w:hanging="360"/>
      </w:pPr>
    </w:lvl>
    <w:lvl w:ilvl="8" w:tentative="0">
      <w:start w:val="1"/>
      <w:numFmt w:val="lowerRoman"/>
      <w:lvlText w:val="%9."/>
      <w:lvlJc w:val="right"/>
      <w:pPr>
        <w:ind w:left="71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F0"/>
    <w:rsid w:val="000041D8"/>
    <w:rsid w:val="000439A6"/>
    <w:rsid w:val="000B3CBA"/>
    <w:rsid w:val="000E077D"/>
    <w:rsid w:val="00121187"/>
    <w:rsid w:val="00155796"/>
    <w:rsid w:val="001613F9"/>
    <w:rsid w:val="0018567A"/>
    <w:rsid w:val="001D71B1"/>
    <w:rsid w:val="00314E69"/>
    <w:rsid w:val="00340625"/>
    <w:rsid w:val="003A2DB4"/>
    <w:rsid w:val="003C7876"/>
    <w:rsid w:val="003E3B91"/>
    <w:rsid w:val="004112A2"/>
    <w:rsid w:val="00414716"/>
    <w:rsid w:val="004648F0"/>
    <w:rsid w:val="00491A6D"/>
    <w:rsid w:val="004A0030"/>
    <w:rsid w:val="004B7A5B"/>
    <w:rsid w:val="00515ADC"/>
    <w:rsid w:val="005576E0"/>
    <w:rsid w:val="00583E28"/>
    <w:rsid w:val="00584265"/>
    <w:rsid w:val="00585354"/>
    <w:rsid w:val="00586EB4"/>
    <w:rsid w:val="005A00D4"/>
    <w:rsid w:val="005F492C"/>
    <w:rsid w:val="006260EA"/>
    <w:rsid w:val="00654267"/>
    <w:rsid w:val="006B14E6"/>
    <w:rsid w:val="006D1ABE"/>
    <w:rsid w:val="006D3F83"/>
    <w:rsid w:val="006F35CE"/>
    <w:rsid w:val="00732E10"/>
    <w:rsid w:val="00736978"/>
    <w:rsid w:val="00751C35"/>
    <w:rsid w:val="007E2F21"/>
    <w:rsid w:val="00893ACC"/>
    <w:rsid w:val="008A03DE"/>
    <w:rsid w:val="008B0144"/>
    <w:rsid w:val="00962762"/>
    <w:rsid w:val="009A5848"/>
    <w:rsid w:val="009C6167"/>
    <w:rsid w:val="00A40A82"/>
    <w:rsid w:val="00A71485"/>
    <w:rsid w:val="00A80556"/>
    <w:rsid w:val="00AB7D72"/>
    <w:rsid w:val="00B251E9"/>
    <w:rsid w:val="00B52AC1"/>
    <w:rsid w:val="00B55F8E"/>
    <w:rsid w:val="00B73FA9"/>
    <w:rsid w:val="00C03F4F"/>
    <w:rsid w:val="00C16564"/>
    <w:rsid w:val="00C24CE2"/>
    <w:rsid w:val="00CE3D44"/>
    <w:rsid w:val="00CE773E"/>
    <w:rsid w:val="00CF4C90"/>
    <w:rsid w:val="00D14BC2"/>
    <w:rsid w:val="00D74B9C"/>
    <w:rsid w:val="00D94DEC"/>
    <w:rsid w:val="00DB0A02"/>
    <w:rsid w:val="00DD0D0B"/>
    <w:rsid w:val="00E72CB3"/>
    <w:rsid w:val="00EB2531"/>
    <w:rsid w:val="00EC06BB"/>
    <w:rsid w:val="00EC0EAA"/>
    <w:rsid w:val="00ED4C5B"/>
    <w:rsid w:val="00EE60C9"/>
    <w:rsid w:val="00F23C77"/>
    <w:rsid w:val="00F62CAF"/>
    <w:rsid w:val="00F7022D"/>
    <w:rsid w:val="00F805CA"/>
    <w:rsid w:val="00F9432D"/>
    <w:rsid w:val="1F43D70A"/>
    <w:rsid w:val="3FA991C4"/>
    <w:rsid w:val="BEF1E4F4"/>
    <w:rsid w:val="D9FD01D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name="Placeholder Text"/>
    <w:lsdException w:qFormat="1" w:unhideWhenUsed="0" w:uiPriority="34" w:semiHidden="0" w:name="List Paragraph"/>
  </w:latentStyles>
  <w:style w:type="paragraph" w:default="1" w:styleId="1">
    <w:name w:val="Normal"/>
    <w:qFormat/>
    <w:uiPriority w:val="0"/>
    <w:pPr>
      <w:spacing w:after="0" w:line="240" w:lineRule="auto"/>
      <w:ind w:left="57" w:right="57"/>
    </w:pPr>
    <w:rPr>
      <w:rFonts w:ascii="Times New Roman" w:hAnsi="Times New Roman" w:cs="Times New Roman" w:eastAsiaTheme="minorHAnsi"/>
      <w:sz w:val="28"/>
      <w:szCs w:val="28"/>
      <w:lang w:val="ru-RU" w:eastAsia="en-US" w:bidi="ar-SA"/>
    </w:rPr>
  </w:style>
  <w:style w:type="paragraph" w:styleId="2">
    <w:name w:val="heading 1"/>
    <w:basedOn w:val="1"/>
    <w:next w:val="1"/>
    <w:link w:val="11"/>
    <w:qFormat/>
    <w:uiPriority w:val="99"/>
    <w:pPr>
      <w:spacing w:after="100" w:afterAutospacing="1"/>
      <w:ind w:left="0" w:right="0"/>
      <w:outlineLvl w:val="0"/>
    </w:pPr>
    <w:rPr>
      <w:rFonts w:eastAsia="Times New Roman"/>
      <w:b/>
      <w:bCs/>
      <w:kern w:val="36"/>
      <w:lang w:eastAsia="ru-RU"/>
    </w:rPr>
  </w:style>
  <w:style w:type="paragraph" w:styleId="3">
    <w:name w:val="heading 2"/>
    <w:basedOn w:val="1"/>
    <w:next w:val="1"/>
    <w:link w:val="16"/>
    <w:semiHidden/>
    <w:unhideWhenUsed/>
    <w:qFormat/>
    <w:uiPriority w:val="9"/>
    <w:pPr>
      <w:keepNext/>
      <w:keepLines/>
      <w:spacing w:before="200"/>
      <w:outlineLvl w:val="1"/>
    </w:pPr>
    <w:rPr>
      <w:rFonts w:asciiTheme="majorHAnsi" w:hAnsiTheme="majorHAnsi" w:eastAsiaTheme="majorEastAsia" w:cstheme="majorBidi"/>
      <w:b/>
      <w:bCs/>
      <w:color w:val="4472C4" w:themeColor="accent1"/>
      <w:sz w:val="26"/>
      <w:szCs w:val="26"/>
      <w14:textFill>
        <w14:solidFill>
          <w14:schemeClr w14:val="accent1"/>
        </w14:solidFill>
      </w14:textFill>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link w:val="7"/>
    <w:unhideWhenUsed/>
    <w:qFormat/>
    <w:uiPriority w:val="99"/>
    <w:rPr>
      <w:color w:val="0000FF"/>
      <w:u w:val="single"/>
    </w:rPr>
  </w:style>
  <w:style w:type="paragraph" w:customStyle="1" w:styleId="7">
    <w:name w:val="Lien hypertexte1"/>
    <w:link w:val="6"/>
    <w:uiPriority w:val="99"/>
    <w:pPr>
      <w:spacing w:after="160" w:line="264" w:lineRule="auto"/>
    </w:pPr>
    <w:rPr>
      <w:rFonts w:asciiTheme="minorHAnsi" w:hAnsiTheme="minorHAnsi" w:eastAsiaTheme="minorHAnsi" w:cstheme="minorBidi"/>
      <w:color w:val="0000FF"/>
      <w:sz w:val="22"/>
      <w:szCs w:val="22"/>
      <w:u w:val="single"/>
      <w:lang w:val="ru-RU" w:eastAsia="en-US" w:bidi="ar-SA"/>
    </w:rPr>
  </w:style>
  <w:style w:type="paragraph" w:styleId="8">
    <w:name w:val="Balloon Text"/>
    <w:basedOn w:val="1"/>
    <w:link w:val="14"/>
    <w:semiHidden/>
    <w:unhideWhenUsed/>
    <w:qFormat/>
    <w:uiPriority w:val="99"/>
    <w:rPr>
      <w:rFonts w:ascii="Tahoma" w:hAnsi="Tahoma" w:cs="Tahoma"/>
      <w:sz w:val="16"/>
      <w:szCs w:val="16"/>
    </w:rPr>
  </w:style>
  <w:style w:type="paragraph" w:styleId="9">
    <w:name w:val="Normal (Web)"/>
    <w:basedOn w:val="1"/>
    <w:semiHidden/>
    <w:unhideWhenUsed/>
    <w:uiPriority w:val="99"/>
    <w:pPr>
      <w:spacing w:before="100" w:beforeAutospacing="1" w:after="100" w:afterAutospacing="1"/>
      <w:ind w:left="0" w:right="0"/>
    </w:pPr>
    <w:rPr>
      <w:rFonts w:eastAsia="Times New Roman"/>
      <w:sz w:val="24"/>
      <w:szCs w:val="24"/>
      <w:lang w:eastAsia="ru-RU"/>
    </w:rPr>
  </w:style>
  <w:style w:type="paragraph" w:styleId="10">
    <w:name w:val="List Paragraph"/>
    <w:basedOn w:val="1"/>
    <w:link w:val="12"/>
    <w:qFormat/>
    <w:uiPriority w:val="34"/>
    <w:pPr>
      <w:ind w:left="720"/>
      <w:contextualSpacing/>
    </w:pPr>
  </w:style>
  <w:style w:type="character" w:customStyle="1" w:styleId="11">
    <w:name w:val="Заголовок 1 Знак"/>
    <w:basedOn w:val="4"/>
    <w:link w:val="2"/>
    <w:qFormat/>
    <w:uiPriority w:val="99"/>
    <w:rPr>
      <w:rFonts w:ascii="Times New Roman" w:hAnsi="Times New Roman" w:eastAsia="Times New Roman" w:cs="Times New Roman"/>
      <w:b/>
      <w:bCs/>
      <w:kern w:val="36"/>
      <w:sz w:val="28"/>
      <w:szCs w:val="28"/>
      <w:lang w:eastAsia="ru-RU"/>
    </w:rPr>
  </w:style>
  <w:style w:type="character" w:customStyle="1" w:styleId="12">
    <w:name w:val="Абзац списка Знак"/>
    <w:link w:val="10"/>
    <w:qFormat/>
    <w:locked/>
    <w:uiPriority w:val="0"/>
    <w:rPr>
      <w:rFonts w:ascii="Times New Roman" w:hAnsi="Times New Roman" w:cs="Times New Roman"/>
      <w:sz w:val="28"/>
      <w:szCs w:val="28"/>
    </w:rPr>
  </w:style>
  <w:style w:type="paragraph" w:customStyle="1" w:styleId="13">
    <w:name w:val="List Paragraph1"/>
    <w:basedOn w:val="1"/>
    <w:qFormat/>
    <w:uiPriority w:val="0"/>
    <w:pPr>
      <w:spacing w:after="200" w:line="276" w:lineRule="auto"/>
      <w:ind w:left="720" w:right="0"/>
    </w:pPr>
    <w:rPr>
      <w:rFonts w:ascii="Calibri" w:hAnsi="Calibri" w:eastAsia="Times New Roman"/>
      <w:sz w:val="22"/>
      <w:szCs w:val="22"/>
      <w:lang w:eastAsia="ru-RU"/>
    </w:rPr>
  </w:style>
  <w:style w:type="character" w:customStyle="1" w:styleId="14">
    <w:name w:val="Текст выноски Знак"/>
    <w:basedOn w:val="4"/>
    <w:link w:val="8"/>
    <w:semiHidden/>
    <w:qFormat/>
    <w:uiPriority w:val="99"/>
    <w:rPr>
      <w:rFonts w:ascii="Tahoma" w:hAnsi="Tahoma" w:cs="Tahoma"/>
      <w:sz w:val="16"/>
      <w:szCs w:val="16"/>
    </w:rPr>
  </w:style>
  <w:style w:type="character" w:styleId="15">
    <w:name w:val="Placeholder Text"/>
    <w:basedOn w:val="4"/>
    <w:semiHidden/>
    <w:qFormat/>
    <w:uiPriority w:val="99"/>
    <w:rPr>
      <w:color w:val="808080"/>
    </w:rPr>
  </w:style>
  <w:style w:type="character" w:customStyle="1" w:styleId="16">
    <w:name w:val="Заголовок 2 Знак"/>
    <w:basedOn w:val="4"/>
    <w:link w:val="3"/>
    <w:semiHidden/>
    <w:uiPriority w:val="9"/>
    <w:rPr>
      <w:rFonts w:asciiTheme="majorHAnsi" w:hAnsiTheme="majorHAnsi" w:eastAsiaTheme="majorEastAsia" w:cstheme="majorBidi"/>
      <w:b/>
      <w:bCs/>
      <w:color w:val="4472C4" w:themeColor="accent1"/>
      <w:sz w:val="26"/>
      <w:szCs w:val="26"/>
      <w14:textFill>
        <w14:solidFill>
          <w14:schemeClr w14:val="accent1"/>
        </w14:solidFill>
      </w14:textFill>
    </w:rPr>
  </w:style>
  <w:style w:type="paragraph" w:customStyle="1" w:styleId="17">
    <w:name w:val="6_Аннотация/Abstract"/>
    <w:basedOn w:val="3"/>
    <w:uiPriority w:val="0"/>
    <w:pPr>
      <w:suppressAutoHyphens/>
      <w:spacing w:before="0" w:after="120" w:line="264" w:lineRule="auto"/>
      <w:ind w:left="0" w:right="0" w:firstLine="709"/>
      <w:jc w:val="both"/>
    </w:pPr>
    <w:rPr>
      <w:rFonts w:ascii="Times New Roman" w:hAnsi="Times New Roman" w:eastAsia="Times New Roman" w:cs="Times New Roman"/>
      <w:color w:val="auto"/>
      <w:sz w:val="24"/>
      <w:szCs w:val="20"/>
      <w:lang w:eastAsia="ru-RU"/>
    </w:rPr>
  </w:style>
  <w:style w:type="paragraph" w:customStyle="1" w:styleId="18">
    <w:name w:val="0_Нормальный текст"/>
    <w:basedOn w:val="1"/>
    <w:uiPriority w:val="0"/>
    <w:pPr>
      <w:ind w:left="0" w:right="0"/>
      <w:jc w:val="both"/>
    </w:pPr>
    <w:rPr>
      <w:rFonts w:eastAsia="Times New Roman"/>
      <w:color w:val="000000"/>
      <w:sz w:val="24"/>
      <w:szCs w:val="24"/>
      <w:lang w:val="en-US" w:eastAsia="ru-RU"/>
    </w:rPr>
  </w:style>
  <w:style w:type="paragraph" w:customStyle="1" w:styleId="19">
    <w:name w:val="7_Ключевые слова"/>
    <w:basedOn w:val="3"/>
    <w:link w:val="20"/>
    <w:uiPriority w:val="0"/>
    <w:pPr>
      <w:suppressAutoHyphens/>
      <w:spacing w:before="120" w:after="120" w:line="264" w:lineRule="auto"/>
      <w:ind w:left="0" w:right="0" w:firstLine="539"/>
      <w:jc w:val="both"/>
    </w:pPr>
    <w:rPr>
      <w:rFonts w:ascii="Times New Roman" w:hAnsi="Times New Roman" w:eastAsia="Times New Roman" w:cs="Arial"/>
      <w:bCs w:val="0"/>
      <w:iCs/>
      <w:color w:val="auto"/>
      <w:sz w:val="24"/>
      <w:szCs w:val="24"/>
      <w:lang w:eastAsia="ru-RU"/>
    </w:rPr>
  </w:style>
  <w:style w:type="character" w:customStyle="1" w:styleId="20">
    <w:name w:val="7_Ключевые слова Знак"/>
    <w:link w:val="19"/>
    <w:uiPriority w:val="0"/>
    <w:rPr>
      <w:rFonts w:ascii="Times New Roman" w:hAnsi="Times New Roman" w:eastAsia="Times New Roman" w:cs="Arial"/>
      <w:b/>
      <w:iCs/>
      <w:sz w:val="24"/>
      <w:szCs w:val="24"/>
      <w:lang w:eastAsia="ru-RU"/>
    </w:rPr>
  </w:style>
  <w:style w:type="character" w:customStyle="1" w:styleId="21">
    <w:name w:val="Unresolved Mention"/>
    <w:basedOn w:val="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ФГБОУ ВПО ЛГПУ</Company>
  <Pages>5</Pages>
  <Words>1522</Words>
  <Characters>8677</Characters>
  <Lines>72</Lines>
  <Paragraphs>20</Paragraphs>
  <TotalTime>112</TotalTime>
  <ScaleCrop>false</ScaleCrop>
  <LinksUpToDate>false</LinksUpToDate>
  <CharactersWithSpaces>10179</CharactersWithSpaces>
  <Application>WPS Office_11.1.0.11698_F1E327BC-269C-435d-A152-05C5408002CA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2023-07-26T22:21:00Z</dcterms:created>
  <dc:creator>Ирина</dc:creator>
  <cp:lastModifiedBy>kalitvin</cp:lastModifiedBy>
  <cp:lastPrinted>2023-07-27T18:43:00Z</cp:lastPrinted>
  <dcterms:modified xsi:type="dcterms:W3CDTF">2023-07-28T07:13:28Z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1049-11.1.0.11698</vt:lpwstr>
  </property>
</Properties>
</file>