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afterAutospacing="1"/>
        <w:ind w:left="0" w:right="0"/>
        <w:jc w:val="right"/>
        <w:outlineLvl w:val="0"/>
        <w:rPr>
          <w:rFonts w:eastAsia="Times New Roman"/>
          <w:b/>
          <w:bCs/>
          <w:i/>
          <w:kern w:val="36"/>
          <w:sz w:val="24"/>
          <w:szCs w:val="24"/>
          <w:lang w:eastAsia="ru-RU"/>
        </w:rPr>
      </w:pPr>
      <w:bookmarkStart w:id="0" w:name="_GoBack"/>
      <w:bookmarkEnd w:id="0"/>
      <w:r>
        <w:rPr>
          <w:rFonts w:eastAsia="Times New Roman"/>
          <w:b/>
          <w:bCs/>
          <w:i/>
          <w:kern w:val="36"/>
          <w:sz w:val="24"/>
          <w:szCs w:val="24"/>
          <w:lang w:eastAsia="ru-RU"/>
        </w:rPr>
        <w:t>Образец оформления статьи</w:t>
      </w:r>
    </w:p>
    <w:p>
      <w:pPr>
        <w:jc w:val="center"/>
        <w:rPr>
          <w:rFonts w:eastAsia="Calibri"/>
          <w:b/>
          <w:sz w:val="24"/>
          <w:szCs w:val="24"/>
        </w:rPr>
      </w:pPr>
      <w:r>
        <w:rPr>
          <w:rFonts w:eastAsia="Calibri"/>
          <w:b/>
          <w:sz w:val="24"/>
          <w:szCs w:val="24"/>
        </w:rPr>
        <w:t>П. Ф. Вдовин</w:t>
      </w:r>
    </w:p>
    <w:p>
      <w:pPr>
        <w:jc w:val="center"/>
        <w:rPr>
          <w:rFonts w:eastAsia="Calibri"/>
          <w:b/>
          <w:sz w:val="12"/>
          <w:szCs w:val="12"/>
        </w:rPr>
      </w:pPr>
    </w:p>
    <w:p>
      <w:pPr>
        <w:jc w:val="center"/>
        <w:rPr>
          <w:rFonts w:eastAsia="Calibri"/>
          <w:sz w:val="24"/>
          <w:szCs w:val="24"/>
        </w:rPr>
      </w:pPr>
      <w:r>
        <w:rPr>
          <w:rFonts w:eastAsia="Calibri"/>
          <w:sz w:val="24"/>
          <w:szCs w:val="24"/>
        </w:rPr>
        <w:t xml:space="preserve">ФГБОУ ВО «Липецкий государственный педагогический университет </w:t>
      </w:r>
    </w:p>
    <w:p>
      <w:pPr>
        <w:jc w:val="center"/>
        <w:rPr>
          <w:rFonts w:eastAsia="Calibri"/>
          <w:sz w:val="24"/>
          <w:szCs w:val="24"/>
        </w:rPr>
      </w:pPr>
      <w:r>
        <w:rPr>
          <w:rFonts w:eastAsia="Calibri"/>
          <w:sz w:val="24"/>
          <w:szCs w:val="24"/>
        </w:rPr>
        <w:t>имени П.П. Семенова-Тян-Шанского», г. Липецк, Россия</w:t>
      </w:r>
    </w:p>
    <w:p>
      <w:pPr>
        <w:jc w:val="center"/>
        <w:rPr>
          <w:rFonts w:eastAsia="Calibri"/>
          <w:sz w:val="24"/>
          <w:szCs w:val="24"/>
        </w:rPr>
      </w:pPr>
      <w:r>
        <w:fldChar w:fldCharType="begin"/>
      </w:r>
      <w:r>
        <w:instrText xml:space="preserve"> HYPERLINK "mailto:vdovin135@mail.ru" </w:instrText>
      </w:r>
      <w:r>
        <w:fldChar w:fldCharType="separate"/>
      </w:r>
      <w:r>
        <w:rPr>
          <w:rFonts w:eastAsia="Calibri"/>
          <w:color w:val="0000FF"/>
          <w:sz w:val="24"/>
          <w:u w:val="single"/>
          <w:lang w:val="en-US"/>
        </w:rPr>
        <w:t>vdovin</w:t>
      </w:r>
      <w:r>
        <w:rPr>
          <w:rFonts w:eastAsia="Calibri"/>
          <w:color w:val="0000FF"/>
          <w:sz w:val="24"/>
          <w:u w:val="single"/>
        </w:rPr>
        <w:t>135@mail.ru</w:t>
      </w:r>
      <w:r>
        <w:rPr>
          <w:rFonts w:eastAsia="Calibri"/>
          <w:color w:val="0000FF"/>
          <w:sz w:val="24"/>
          <w:u w:val="single"/>
        </w:rPr>
        <w:fldChar w:fldCharType="end"/>
      </w:r>
    </w:p>
    <w:p>
      <w:pPr>
        <w:ind w:firstLine="357"/>
        <w:jc w:val="center"/>
        <w:rPr>
          <w:rFonts w:eastAsia="Calibri"/>
          <w:sz w:val="24"/>
          <w:szCs w:val="24"/>
        </w:rPr>
      </w:pPr>
    </w:p>
    <w:p>
      <w:pPr>
        <w:ind w:firstLine="357"/>
        <w:jc w:val="center"/>
        <w:rPr>
          <w:rFonts w:eastAsia="Calibri"/>
          <w:i/>
          <w:sz w:val="24"/>
          <w:szCs w:val="24"/>
        </w:rPr>
      </w:pPr>
      <w:r>
        <w:rPr>
          <w:rFonts w:eastAsia="Calibri"/>
          <w:i/>
          <w:sz w:val="24"/>
          <w:szCs w:val="24"/>
        </w:rPr>
        <w:t>Научный руководитель: В.В. Филиппов,</w:t>
      </w:r>
    </w:p>
    <w:p>
      <w:pPr>
        <w:jc w:val="center"/>
        <w:rPr>
          <w:rFonts w:eastAsia="Calibri"/>
          <w:i/>
          <w:sz w:val="24"/>
          <w:szCs w:val="24"/>
        </w:rPr>
      </w:pPr>
      <w:r>
        <w:rPr>
          <w:rFonts w:eastAsia="Calibri"/>
          <w:i/>
          <w:sz w:val="24"/>
          <w:szCs w:val="24"/>
        </w:rPr>
        <w:t xml:space="preserve">доктор физико-математических наук, профессор кафедры математики и физики </w:t>
      </w:r>
    </w:p>
    <w:p>
      <w:pPr>
        <w:jc w:val="center"/>
        <w:rPr>
          <w:rFonts w:eastAsia="Calibri"/>
          <w:i/>
          <w:sz w:val="24"/>
          <w:szCs w:val="24"/>
        </w:rPr>
      </w:pPr>
      <w:r>
        <w:rPr>
          <w:rFonts w:eastAsia="Calibri"/>
          <w:i/>
          <w:sz w:val="24"/>
          <w:szCs w:val="24"/>
        </w:rPr>
        <w:t xml:space="preserve">ФГБОУ ВО «Липецкий государственный педагогический университет </w:t>
      </w:r>
    </w:p>
    <w:p>
      <w:pPr>
        <w:ind w:firstLine="357"/>
        <w:jc w:val="center"/>
        <w:rPr>
          <w:rFonts w:eastAsia="Calibri"/>
          <w:i/>
          <w:sz w:val="24"/>
          <w:szCs w:val="24"/>
        </w:rPr>
      </w:pPr>
      <w:r>
        <w:rPr>
          <w:rFonts w:eastAsia="Calibri"/>
          <w:i/>
          <w:sz w:val="24"/>
          <w:szCs w:val="24"/>
        </w:rPr>
        <w:t>имени П.П. Семенова-Тян-Шанского»</w:t>
      </w:r>
    </w:p>
    <w:p>
      <w:pPr>
        <w:ind w:firstLine="357"/>
        <w:jc w:val="center"/>
        <w:rPr>
          <w:rFonts w:eastAsia="Calibri"/>
          <w:sz w:val="24"/>
          <w:szCs w:val="24"/>
        </w:rPr>
      </w:pPr>
    </w:p>
    <w:p>
      <w:pPr>
        <w:spacing w:line="360" w:lineRule="auto"/>
        <w:jc w:val="center"/>
        <w:rPr>
          <w:rFonts w:eastAsia="Calibri"/>
          <w:b/>
          <w:sz w:val="24"/>
          <w:szCs w:val="24"/>
        </w:rPr>
      </w:pPr>
      <w:r>
        <w:rPr>
          <w:rFonts w:eastAsia="Calibri"/>
          <w:b/>
          <w:sz w:val="24"/>
          <w:szCs w:val="24"/>
        </w:rPr>
        <w:t>ОПРЕДЕЛЕНИЕ ВОЗМОЖНОСТЕЙ СОЗДАНИЯ ОПТИЧЕСКОГО КВАНТОВОГО ГЕНЕРАТОРА В ВЫСОКОЧАСТОТНОМ ДИАПАЗОНЕ ВОЛН</w:t>
      </w:r>
    </w:p>
    <w:p>
      <w:pPr>
        <w:spacing w:line="360" w:lineRule="auto"/>
        <w:jc w:val="center"/>
        <w:rPr>
          <w:rFonts w:eastAsia="Calibri"/>
          <w:b/>
          <w:sz w:val="12"/>
          <w:szCs w:val="12"/>
        </w:rPr>
      </w:pPr>
    </w:p>
    <w:p>
      <w:pPr>
        <w:keepNext/>
        <w:keepLines/>
        <w:suppressAutoHyphens/>
        <w:ind w:left="0" w:right="0" w:firstLine="709"/>
        <w:jc w:val="both"/>
        <w:outlineLvl w:val="1"/>
        <w:rPr>
          <w:rFonts w:eastAsia="Times New Roman"/>
          <w:bCs/>
          <w:sz w:val="24"/>
          <w:szCs w:val="20"/>
          <w:lang w:eastAsia="ru-RU"/>
        </w:rPr>
      </w:pPr>
      <w:r>
        <w:rPr>
          <w:rFonts w:eastAsia="Times New Roman"/>
          <w:b/>
          <w:bCs/>
          <w:i/>
          <w:sz w:val="24"/>
          <w:szCs w:val="20"/>
          <w:lang w:eastAsia="ru-RU"/>
        </w:rPr>
        <w:t>Аннотация.</w:t>
      </w:r>
      <w:r>
        <w:rPr>
          <w:rFonts w:eastAsia="Times New Roman"/>
          <w:b/>
          <w:bCs/>
          <w:sz w:val="24"/>
          <w:szCs w:val="20"/>
          <w:lang w:eastAsia="ru-RU"/>
        </w:rPr>
        <w:t xml:space="preserve"> </w:t>
      </w:r>
      <w:r>
        <w:rPr>
          <w:rFonts w:eastAsia="Times New Roman"/>
          <w:bCs/>
          <w:sz w:val="24"/>
          <w:szCs w:val="20"/>
          <w:lang w:eastAsia="ru-RU"/>
        </w:rPr>
        <w:t xml:space="preserve">Рассмотрены этапы освоения курса «Квантовая и оптическая электроника» при подготовке бакалавров направления «Информационная безопасность». Отмечены оптимальные шаги при обучении с целью наиболее эффективного усвоения программы и корреляция с другими разделами учебного плана.  Обоснована необходимость сохранения курса в учебном плане при подготовке специалистов данного направления. </w:t>
      </w:r>
    </w:p>
    <w:p>
      <w:pPr>
        <w:ind w:firstLine="652"/>
        <w:jc w:val="both"/>
        <w:rPr>
          <w:rFonts w:eastAsia="Calibri"/>
          <w:sz w:val="24"/>
          <w:szCs w:val="24"/>
        </w:rPr>
      </w:pPr>
      <w:r>
        <w:rPr>
          <w:rFonts w:eastAsia="Calibri"/>
          <w:b/>
          <w:i/>
          <w:sz w:val="24"/>
          <w:szCs w:val="24"/>
        </w:rPr>
        <w:t>Ключевые слова:</w:t>
      </w:r>
      <w:r>
        <w:rPr>
          <w:rFonts w:eastAsia="Calibri"/>
          <w:b/>
          <w:sz w:val="24"/>
          <w:szCs w:val="24"/>
        </w:rPr>
        <w:t xml:space="preserve"> </w:t>
      </w:r>
      <w:r>
        <w:rPr>
          <w:rFonts w:eastAsia="Calibri"/>
          <w:sz w:val="24"/>
          <w:szCs w:val="24"/>
        </w:rPr>
        <w:t>информационная безопасность, учебный план, электроника, квант, оптика.</w:t>
      </w:r>
    </w:p>
    <w:p>
      <w:pPr>
        <w:ind w:firstLine="652"/>
        <w:jc w:val="both"/>
        <w:rPr>
          <w:rFonts w:eastAsia="Calibri"/>
          <w:sz w:val="10"/>
          <w:szCs w:val="10"/>
        </w:rPr>
      </w:pPr>
    </w:p>
    <w:p>
      <w:pPr>
        <w:ind w:hanging="57"/>
        <w:jc w:val="center"/>
        <w:rPr>
          <w:rFonts w:eastAsia="Calibri"/>
          <w:b/>
          <w:color w:val="000000"/>
          <w:sz w:val="24"/>
          <w:szCs w:val="24"/>
          <w:lang w:val="en-US"/>
        </w:rPr>
      </w:pPr>
      <w:r>
        <w:rPr>
          <w:rFonts w:eastAsia="Calibri"/>
          <w:b/>
          <w:color w:val="000000"/>
          <w:sz w:val="24"/>
          <w:szCs w:val="24"/>
          <w:lang w:val="en-US"/>
        </w:rPr>
        <w:t>P. F. Vdovin</w:t>
      </w:r>
    </w:p>
    <w:p>
      <w:pPr>
        <w:ind w:hanging="57"/>
        <w:jc w:val="center"/>
        <w:rPr>
          <w:rFonts w:eastAsia="Calibri"/>
          <w:b/>
          <w:color w:val="000000"/>
          <w:sz w:val="12"/>
          <w:szCs w:val="12"/>
          <w:lang w:val="en-US"/>
        </w:rPr>
      </w:pPr>
    </w:p>
    <w:p>
      <w:pPr>
        <w:ind w:hanging="57"/>
        <w:jc w:val="center"/>
        <w:rPr>
          <w:rFonts w:eastAsia="Calibri"/>
          <w:color w:val="000000"/>
          <w:sz w:val="24"/>
          <w:szCs w:val="24"/>
          <w:lang w:val="en-US"/>
        </w:rPr>
      </w:pPr>
      <w:r>
        <w:rPr>
          <w:rFonts w:eastAsia="Calibri"/>
          <w:color w:val="000000"/>
          <w:sz w:val="24"/>
          <w:szCs w:val="24"/>
          <w:lang w:val="en-US"/>
        </w:rPr>
        <w:t xml:space="preserve">Lipetsk State Pedagogical P. Semenov-Tyan-Shansky University, Lipetsk, Russia </w:t>
      </w:r>
    </w:p>
    <w:p>
      <w:pPr>
        <w:ind w:hanging="57"/>
        <w:jc w:val="center"/>
        <w:rPr>
          <w:rFonts w:eastAsia="Calibri"/>
          <w:color w:val="0000FF"/>
          <w:sz w:val="24"/>
          <w:u w:val="single"/>
          <w:lang w:val="en-US"/>
        </w:rPr>
      </w:pPr>
      <w:r>
        <w:fldChar w:fldCharType="begin"/>
      </w:r>
      <w:r>
        <w:instrText xml:space="preserve"> HYPERLINK "mailto:vdovin135@mail.ru" </w:instrText>
      </w:r>
      <w:r>
        <w:fldChar w:fldCharType="separate"/>
      </w:r>
      <w:r>
        <w:rPr>
          <w:rFonts w:eastAsia="Calibri"/>
          <w:color w:val="0000FF"/>
          <w:sz w:val="24"/>
          <w:u w:val="single"/>
          <w:lang w:val="en-US"/>
        </w:rPr>
        <w:t>vdovin135@mail.ru</w:t>
      </w:r>
      <w:r>
        <w:rPr>
          <w:rFonts w:eastAsia="Calibri"/>
          <w:color w:val="0000FF"/>
          <w:sz w:val="24"/>
          <w:u w:val="single"/>
          <w:lang w:val="en-US"/>
        </w:rPr>
        <w:fldChar w:fldCharType="end"/>
      </w:r>
    </w:p>
    <w:p>
      <w:pPr>
        <w:ind w:hanging="57"/>
        <w:jc w:val="center"/>
        <w:rPr>
          <w:rFonts w:eastAsia="Calibri"/>
          <w:color w:val="000000"/>
          <w:sz w:val="24"/>
          <w:szCs w:val="24"/>
          <w:lang w:val="en-US"/>
        </w:rPr>
      </w:pPr>
    </w:p>
    <w:p>
      <w:pPr>
        <w:jc w:val="center"/>
        <w:rPr>
          <w:rFonts w:eastAsia="Calibri"/>
          <w:sz w:val="24"/>
          <w:szCs w:val="24"/>
          <w:lang w:val="en-US"/>
        </w:rPr>
      </w:pPr>
      <w:r>
        <w:rPr>
          <w:rFonts w:eastAsia="Calibri"/>
          <w:sz w:val="24"/>
          <w:szCs w:val="24"/>
          <w:lang w:val="en-US"/>
        </w:rPr>
        <w:t>Scientific supervisor: V.V. Filippov,</w:t>
      </w:r>
    </w:p>
    <w:p>
      <w:pPr>
        <w:jc w:val="center"/>
        <w:rPr>
          <w:rFonts w:eastAsia="Calibri"/>
          <w:b/>
          <w:color w:val="000000"/>
          <w:sz w:val="24"/>
          <w:szCs w:val="24"/>
          <w:lang w:val="en-US"/>
        </w:rPr>
      </w:pPr>
      <w:r>
        <w:rPr>
          <w:rFonts w:eastAsia="Calibri"/>
          <w:sz w:val="24"/>
          <w:szCs w:val="24"/>
          <w:lang w:val="en-US"/>
        </w:rPr>
        <w:t xml:space="preserve">Doctor of Physical and Mathematical Sciences, Professor of the Department of Mathematics and Physics </w:t>
      </w:r>
      <w:r>
        <w:rPr>
          <w:rFonts w:eastAsia="Calibri"/>
          <w:color w:val="000000"/>
          <w:sz w:val="24"/>
          <w:szCs w:val="24"/>
          <w:lang w:val="en-US"/>
        </w:rPr>
        <w:t>Lipetsk State Pedagogical P. Semenov-Tyan-Shansky University</w:t>
      </w:r>
    </w:p>
    <w:p>
      <w:pPr>
        <w:jc w:val="center"/>
        <w:rPr>
          <w:rFonts w:eastAsia="Calibri"/>
          <w:b/>
          <w:color w:val="000000"/>
          <w:sz w:val="24"/>
          <w:szCs w:val="24"/>
          <w:lang w:val="en-US"/>
        </w:rPr>
      </w:pPr>
    </w:p>
    <w:p>
      <w:pPr>
        <w:jc w:val="center"/>
        <w:rPr>
          <w:rFonts w:eastAsia="Calibri"/>
          <w:b/>
          <w:sz w:val="24"/>
          <w:szCs w:val="24"/>
          <w:lang w:val="en-US"/>
        </w:rPr>
      </w:pPr>
      <w:r>
        <w:rPr>
          <w:rFonts w:eastAsia="Calibri"/>
          <w:b/>
          <w:color w:val="000000"/>
          <w:sz w:val="24"/>
          <w:szCs w:val="24"/>
          <w:lang w:val="en-US"/>
        </w:rPr>
        <w:t>DETERMINATION OF THE POSSIBILITIES OF CREATING AN OPTICAL QUANTUM GENERATOR IN THE HIGH-FREQUENCY WAVE RANGE</w:t>
      </w:r>
    </w:p>
    <w:p>
      <w:pPr>
        <w:ind w:firstLine="652"/>
        <w:jc w:val="both"/>
        <w:rPr>
          <w:rFonts w:eastAsia="Calibri"/>
          <w:sz w:val="24"/>
          <w:szCs w:val="24"/>
          <w:lang w:val="en-US"/>
        </w:rPr>
      </w:pPr>
    </w:p>
    <w:p>
      <w:pPr>
        <w:keepNext/>
        <w:keepLines/>
        <w:suppressAutoHyphens/>
        <w:ind w:left="0" w:right="0" w:firstLine="709"/>
        <w:jc w:val="both"/>
        <w:outlineLvl w:val="1"/>
        <w:rPr>
          <w:rFonts w:eastAsia="Times New Roman"/>
          <w:b/>
          <w:bCs/>
          <w:sz w:val="8"/>
          <w:szCs w:val="8"/>
          <w:lang w:val="en-US" w:eastAsia="ru-RU"/>
        </w:rPr>
      </w:pPr>
    </w:p>
    <w:p>
      <w:pPr>
        <w:keepNext/>
        <w:keepLines/>
        <w:suppressAutoHyphens/>
        <w:ind w:left="0" w:right="0" w:firstLine="709"/>
        <w:jc w:val="both"/>
        <w:outlineLvl w:val="1"/>
        <w:rPr>
          <w:rFonts w:eastAsia="Times New Roman"/>
          <w:bCs/>
          <w:sz w:val="24"/>
          <w:szCs w:val="20"/>
          <w:lang w:val="en-US" w:eastAsia="ru-RU"/>
        </w:rPr>
      </w:pPr>
      <w:r>
        <w:rPr>
          <w:rFonts w:eastAsia="Times New Roman"/>
          <w:b/>
          <w:bCs/>
          <w:i/>
          <w:sz w:val="24"/>
          <w:szCs w:val="20"/>
          <w:lang w:val="en-US" w:eastAsia="ru-RU"/>
        </w:rPr>
        <w:t>Abstract.</w:t>
      </w:r>
      <w:r>
        <w:rPr>
          <w:rFonts w:eastAsia="Times New Roman"/>
          <w:b/>
          <w:bCs/>
          <w:sz w:val="24"/>
          <w:szCs w:val="20"/>
          <w:lang w:val="en-US" w:eastAsia="ru-RU"/>
        </w:rPr>
        <w:t xml:space="preserve"> </w:t>
      </w:r>
      <w:r>
        <w:rPr>
          <w:rFonts w:eastAsia="Times New Roman"/>
          <w:bCs/>
          <w:sz w:val="24"/>
          <w:szCs w:val="20"/>
          <w:lang w:val="en-US" w:eastAsia="ru-RU"/>
        </w:rPr>
        <w:t>The stages of mastering the course “Quantum and optical electronics” in the preparation of bachelors in the field of “Information Security” are considered. The optimal steps in teaching are noted with the aim of the most effective assimilation of the program and correlation with other sections of the curriculum. The necessity of maintaining the course in the curriculum during the training of specialists in this field is substantiated.</w:t>
      </w:r>
    </w:p>
    <w:p>
      <w:pPr>
        <w:ind w:left="0" w:firstLine="709"/>
        <w:rPr>
          <w:rFonts w:eastAsia="Calibri"/>
          <w:color w:val="000000"/>
          <w:sz w:val="24"/>
          <w:szCs w:val="24"/>
          <w:lang w:val="en-US"/>
        </w:rPr>
      </w:pPr>
      <w:r>
        <w:rPr>
          <w:rFonts w:eastAsia="Calibri" w:cs="Arial"/>
          <w:b/>
          <w:i/>
          <w:iCs/>
          <w:sz w:val="24"/>
          <w:szCs w:val="24"/>
          <w:lang w:val="en-US" w:eastAsia="ru-RU"/>
        </w:rPr>
        <w:t>Keywords:</w:t>
      </w:r>
      <w:r>
        <w:rPr>
          <w:rFonts w:eastAsia="Calibri"/>
          <w:sz w:val="24"/>
          <w:szCs w:val="24"/>
          <w:lang w:val="en-US"/>
        </w:rPr>
        <w:t xml:space="preserve"> </w:t>
      </w:r>
      <w:r>
        <w:rPr>
          <w:rFonts w:eastAsia="Calibri"/>
          <w:color w:val="000000"/>
          <w:sz w:val="24"/>
          <w:szCs w:val="24"/>
          <w:lang w:val="en-US"/>
        </w:rPr>
        <w:t>information security, curriculum, electronics, quantum, optics.</w:t>
      </w:r>
    </w:p>
    <w:p>
      <w:pPr>
        <w:ind w:left="0" w:firstLine="709"/>
        <w:rPr>
          <w:rFonts w:eastAsia="Calibri"/>
          <w:b/>
          <w:sz w:val="24"/>
          <w:szCs w:val="24"/>
          <w:lang w:val="en-US"/>
        </w:rPr>
      </w:pPr>
    </w:p>
    <w:p>
      <w:pPr>
        <w:spacing w:after="120"/>
        <w:ind w:firstLine="709"/>
        <w:jc w:val="both"/>
        <w:rPr>
          <w:rFonts w:eastAsia="Calibri"/>
          <w:sz w:val="24"/>
          <w:szCs w:val="24"/>
        </w:rPr>
      </w:pPr>
      <w:r>
        <w:rPr>
          <w:rFonts w:eastAsia="Calibri"/>
          <w:sz w:val="24"/>
          <w:szCs w:val="24"/>
        </w:rPr>
        <w:t>Развитие нефтегазового комплекса в России является одним из приоритетных направлений в экономике страны. Нефть и газ относятся к более конкурентоспособным отечественным товарам, и все еще находятся на лидирующих позициях спроса у мировых потребителей. Для контроля качества нефтепродуктов часто используют метод газовой хроматографии, который в наше время считается наиболее распространенным физико-химическим методом исследования. С помощью данного метода решается весьма обширный круг аналитических задач нефтеперерабатывающей промышленности.  [1, 3]</w:t>
      </w:r>
    </w:p>
    <w:p>
      <w:pPr>
        <w:spacing w:before="60" w:line="360" w:lineRule="auto"/>
        <w:jc w:val="center"/>
        <w:rPr>
          <w:rFonts w:eastAsia="Calibri"/>
          <w:sz w:val="24"/>
          <w:szCs w:val="24"/>
        </w:rPr>
      </w:pPr>
      <w:r>
        <w:rPr>
          <w:rFonts w:eastAsia="Calibri"/>
          <w:sz w:val="24"/>
          <w:szCs w:val="24"/>
          <w:lang w:eastAsia="ru-RU"/>
        </w:rPr>
        <w:drawing>
          <wp:inline distT="0" distB="0" distL="0" distR="0">
            <wp:extent cx="3260725" cy="1514475"/>
            <wp:effectExtent l="0" t="0" r="0" b="0"/>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t="12090" b="5180"/>
                    <a:stretch>
                      <a:fillRect/>
                    </a:stretch>
                  </pic:blipFill>
                  <pic:spPr>
                    <a:xfrm>
                      <a:off x="0" y="0"/>
                      <a:ext cx="3270421" cy="1518772"/>
                    </a:xfrm>
                    <a:prstGeom prst="rect">
                      <a:avLst/>
                    </a:prstGeom>
                    <a:noFill/>
                    <a:ln>
                      <a:noFill/>
                    </a:ln>
                  </pic:spPr>
                </pic:pic>
              </a:graphicData>
            </a:graphic>
          </wp:inline>
        </w:drawing>
      </w:r>
    </w:p>
    <w:p>
      <w:pPr>
        <w:spacing w:before="60" w:line="360" w:lineRule="auto"/>
        <w:jc w:val="center"/>
        <w:rPr>
          <w:rFonts w:eastAsia="Calibri"/>
          <w:sz w:val="24"/>
          <w:szCs w:val="24"/>
        </w:rPr>
      </w:pPr>
      <w:r>
        <w:rPr>
          <w:rFonts w:eastAsia="Calibri"/>
          <w:sz w:val="24"/>
          <w:szCs w:val="24"/>
        </w:rPr>
        <w:t>Рисунок 1 – Внешний вид окна лабораторной работы на сайте distolymp2.spbu.ru</w:t>
      </w:r>
    </w:p>
    <w:p>
      <w:pPr>
        <w:ind w:firstLine="709"/>
        <w:rPr>
          <w:rFonts w:eastAsia="Calibri"/>
          <w:sz w:val="24"/>
          <w:szCs w:val="24"/>
        </w:rPr>
      </w:pPr>
    </w:p>
    <w:p>
      <w:pPr>
        <w:ind w:firstLine="709"/>
        <w:jc w:val="center"/>
        <w:rPr>
          <w:rFonts w:eastAsia="Calibri"/>
          <w:b/>
          <w:i/>
          <w:sz w:val="24"/>
          <w:szCs w:val="24"/>
        </w:rPr>
      </w:pPr>
      <w:r>
        <w:rPr>
          <w:rFonts w:eastAsia="Calibri"/>
          <w:b/>
          <w:i/>
          <w:sz w:val="24"/>
          <w:szCs w:val="24"/>
        </w:rPr>
        <w:t xml:space="preserve">Уважаемые участники! </w:t>
      </w:r>
    </w:p>
    <w:p>
      <w:pPr>
        <w:ind w:firstLine="85"/>
        <w:jc w:val="center"/>
        <w:rPr>
          <w:rFonts w:eastAsia="Calibri"/>
          <w:b/>
          <w:i/>
          <w:sz w:val="24"/>
          <w:szCs w:val="24"/>
        </w:rPr>
      </w:pPr>
      <w:r>
        <w:rPr>
          <w:rFonts w:eastAsia="Calibri"/>
          <w:b/>
          <w:i/>
          <w:sz w:val="24"/>
          <w:szCs w:val="24"/>
        </w:rPr>
        <w:t xml:space="preserve">Просьба обратить особое внимание на оформление списка литературы! </w:t>
      </w:r>
    </w:p>
    <w:p>
      <w:pPr>
        <w:ind w:firstLine="709"/>
        <w:jc w:val="both"/>
        <w:rPr>
          <w:rFonts w:eastAsia="Calibri"/>
          <w:b/>
          <w:i/>
          <w:sz w:val="24"/>
          <w:szCs w:val="24"/>
        </w:rPr>
      </w:pPr>
      <w:r>
        <w:rPr>
          <w:rFonts w:eastAsia="Calibri"/>
          <w:b/>
          <w:i/>
          <w:sz w:val="24"/>
          <w:szCs w:val="24"/>
        </w:rPr>
        <w:t xml:space="preserve">Это важно для оперативной подготовки макета сборника конференции. </w:t>
      </w:r>
    </w:p>
    <w:p>
      <w:pPr>
        <w:ind w:firstLine="709"/>
        <w:jc w:val="both"/>
        <w:rPr>
          <w:rFonts w:eastAsia="Calibri"/>
          <w:b/>
          <w:i/>
          <w:sz w:val="24"/>
          <w:szCs w:val="24"/>
        </w:rPr>
      </w:pPr>
      <w:r>
        <w:rPr>
          <w:rFonts w:eastAsia="Calibri"/>
          <w:b/>
          <w:i/>
          <w:sz w:val="24"/>
          <w:szCs w:val="24"/>
        </w:rPr>
        <w:t>В тексте статей должны содержаться ссылки на все приведенные в литературе источники. В случае несоответствия в оформлении статья будет возвращена на доработку!</w:t>
      </w:r>
    </w:p>
    <w:p>
      <w:pPr>
        <w:ind w:firstLine="358"/>
        <w:rPr>
          <w:rFonts w:eastAsia="Calibri"/>
          <w:sz w:val="16"/>
          <w:szCs w:val="16"/>
        </w:rPr>
      </w:pPr>
    </w:p>
    <w:p>
      <w:pPr>
        <w:ind w:left="567" w:firstLine="142"/>
        <w:jc w:val="both"/>
        <w:rPr>
          <w:b/>
          <w:sz w:val="24"/>
          <w:szCs w:val="24"/>
        </w:rPr>
      </w:pPr>
      <w:r>
        <w:rPr>
          <w:b/>
          <w:sz w:val="24"/>
          <w:szCs w:val="24"/>
        </w:rPr>
        <w:t>ЛИТЕРАТУРА</w:t>
      </w:r>
    </w:p>
    <w:p>
      <w:pPr>
        <w:ind w:left="567" w:firstLine="142"/>
        <w:jc w:val="both"/>
        <w:rPr>
          <w:b/>
          <w:sz w:val="24"/>
          <w:szCs w:val="24"/>
        </w:rPr>
      </w:pPr>
    </w:p>
    <w:p>
      <w:pPr>
        <w:ind w:left="426" w:hanging="426"/>
        <w:jc w:val="both"/>
        <w:rPr>
          <w:i/>
          <w:sz w:val="20"/>
          <w:szCs w:val="20"/>
        </w:rPr>
      </w:pPr>
      <w:r>
        <w:rPr>
          <w:i/>
          <w:sz w:val="20"/>
          <w:szCs w:val="20"/>
        </w:rPr>
        <w:t>Статья в электронном журнале</w:t>
      </w:r>
    </w:p>
    <w:p>
      <w:pPr>
        <w:pStyle w:val="9"/>
        <w:numPr>
          <w:ilvl w:val="0"/>
          <w:numId w:val="1"/>
        </w:numPr>
        <w:tabs>
          <w:tab w:val="left" w:pos="426"/>
        </w:tabs>
        <w:ind w:left="426" w:right="0" w:hanging="426"/>
        <w:contextualSpacing w:val="0"/>
        <w:jc w:val="both"/>
        <w:rPr>
          <w:sz w:val="24"/>
          <w:szCs w:val="24"/>
        </w:rPr>
      </w:pPr>
      <w:r>
        <w:rPr>
          <w:sz w:val="24"/>
          <w:szCs w:val="24"/>
        </w:rPr>
        <w:t>Воистинова Г.Х., Байназарова М.Р. Применение игровых технологий на уроках математики в 5, 6 классах [Электронный ресурс] // E-Scio. – 2020. – №12 (51). – URL: https://cyberleninka.ru/article/n/primenenie-igrovyh-tehnologiy-na-urokah-matematiki-v-5-6-klassah (дата обращения: 06.10.2023).</w:t>
      </w:r>
    </w:p>
    <w:p>
      <w:pPr>
        <w:tabs>
          <w:tab w:val="left" w:pos="426"/>
        </w:tabs>
        <w:ind w:left="0" w:right="0"/>
        <w:jc w:val="both"/>
        <w:rPr>
          <w:sz w:val="24"/>
          <w:szCs w:val="24"/>
        </w:rPr>
      </w:pPr>
    </w:p>
    <w:p>
      <w:pPr>
        <w:tabs>
          <w:tab w:val="left" w:pos="426"/>
        </w:tabs>
        <w:ind w:left="0" w:right="0"/>
        <w:jc w:val="both"/>
        <w:rPr>
          <w:i/>
          <w:sz w:val="20"/>
          <w:szCs w:val="20"/>
        </w:rPr>
      </w:pPr>
      <w:r>
        <w:rPr>
          <w:i/>
          <w:sz w:val="20"/>
          <w:szCs w:val="20"/>
        </w:rPr>
        <w:t>Статья авторского коллектива от 1-го до 4-х авторов</w:t>
      </w:r>
    </w:p>
    <w:p>
      <w:pPr>
        <w:pStyle w:val="9"/>
        <w:numPr>
          <w:ilvl w:val="0"/>
          <w:numId w:val="1"/>
        </w:numPr>
        <w:tabs>
          <w:tab w:val="left" w:pos="426"/>
        </w:tabs>
        <w:ind w:left="426" w:right="0" w:hanging="426"/>
        <w:jc w:val="both"/>
        <w:rPr>
          <w:sz w:val="24"/>
          <w:szCs w:val="24"/>
        </w:rPr>
      </w:pPr>
      <w:r>
        <w:rPr>
          <w:sz w:val="24"/>
          <w:szCs w:val="24"/>
        </w:rPr>
        <w:t>Кичемасова Д.Х., Маслова С.В. Игровые технологии при формировании элементарных математических представлений у детей дошкольного возраста // Психология и педагогика XXI века: актуальные вопросы, достижения и инновации: Сб. статей II Всероссийской студенческой научно-практической конференции, Орехово-Зуево, 19 мая 2021 года. – Орехово-Зуево: Государственный гуманитарно-технологический университет, 2021. – С. 314-316.</w:t>
      </w:r>
    </w:p>
    <w:p>
      <w:pPr>
        <w:tabs>
          <w:tab w:val="left" w:pos="426"/>
        </w:tabs>
        <w:ind w:left="0" w:right="0"/>
        <w:jc w:val="both"/>
        <w:rPr>
          <w:sz w:val="24"/>
          <w:szCs w:val="24"/>
        </w:rPr>
      </w:pPr>
    </w:p>
    <w:p>
      <w:pPr>
        <w:tabs>
          <w:tab w:val="left" w:pos="426"/>
        </w:tabs>
        <w:ind w:left="0" w:right="0"/>
        <w:jc w:val="both"/>
        <w:rPr>
          <w:i/>
          <w:sz w:val="20"/>
          <w:szCs w:val="20"/>
        </w:rPr>
      </w:pPr>
      <w:r>
        <w:rPr>
          <w:i/>
          <w:sz w:val="20"/>
          <w:szCs w:val="20"/>
        </w:rPr>
        <w:t>Статья от от 1-го до 4-х авторов  в журнале</w:t>
      </w:r>
    </w:p>
    <w:p>
      <w:pPr>
        <w:pStyle w:val="9"/>
        <w:numPr>
          <w:ilvl w:val="0"/>
          <w:numId w:val="1"/>
        </w:numPr>
        <w:tabs>
          <w:tab w:val="left" w:pos="426"/>
        </w:tabs>
        <w:ind w:left="426" w:right="0" w:hanging="426"/>
        <w:jc w:val="both"/>
        <w:rPr>
          <w:sz w:val="24"/>
          <w:szCs w:val="24"/>
        </w:rPr>
      </w:pPr>
      <w:r>
        <w:rPr>
          <w:sz w:val="24"/>
          <w:szCs w:val="24"/>
        </w:rPr>
        <w:t>Мункоев А.А. Применение игровых технологий на уроках математики // Вопросы педагогики. – 2020. – № 8-1. – С. 60-63.</w:t>
      </w:r>
    </w:p>
    <w:p>
      <w:pPr>
        <w:tabs>
          <w:tab w:val="left" w:pos="426"/>
        </w:tabs>
        <w:ind w:left="0" w:right="0"/>
        <w:jc w:val="both"/>
        <w:rPr>
          <w:sz w:val="24"/>
          <w:szCs w:val="24"/>
        </w:rPr>
      </w:pPr>
    </w:p>
    <w:p>
      <w:pPr>
        <w:tabs>
          <w:tab w:val="left" w:pos="426"/>
        </w:tabs>
        <w:ind w:left="0" w:right="0"/>
        <w:jc w:val="both"/>
        <w:rPr>
          <w:i/>
          <w:sz w:val="20"/>
          <w:szCs w:val="20"/>
        </w:rPr>
      </w:pPr>
      <w:r>
        <w:rPr>
          <w:i/>
          <w:sz w:val="20"/>
          <w:szCs w:val="20"/>
        </w:rPr>
        <w:t>Статья одного автора в сборнике статей</w:t>
      </w:r>
    </w:p>
    <w:p>
      <w:pPr>
        <w:pStyle w:val="9"/>
        <w:numPr>
          <w:ilvl w:val="0"/>
          <w:numId w:val="1"/>
        </w:numPr>
        <w:tabs>
          <w:tab w:val="left" w:pos="426"/>
        </w:tabs>
        <w:ind w:left="426" w:right="0" w:hanging="426"/>
        <w:jc w:val="both"/>
        <w:rPr>
          <w:sz w:val="24"/>
          <w:szCs w:val="24"/>
        </w:rPr>
      </w:pPr>
      <w:r>
        <w:rPr>
          <w:sz w:val="24"/>
          <w:szCs w:val="24"/>
        </w:rPr>
        <w:t>Семенова Е.Е. Игровые технологии на уроках математики как средство мотивации школьников к обучению // Лучшая научная статья 2019: сборник статей XXV Международного научно-исследовательского конкурса. Пенза, 30 мая 2019 года. – Пенза: Наука и просвещение, 2019. – С. 83-87.</w:t>
      </w:r>
    </w:p>
    <w:p>
      <w:pPr>
        <w:tabs>
          <w:tab w:val="left" w:pos="426"/>
        </w:tabs>
        <w:ind w:left="0" w:right="0"/>
        <w:jc w:val="both"/>
        <w:rPr>
          <w:sz w:val="24"/>
          <w:szCs w:val="24"/>
        </w:rPr>
      </w:pPr>
    </w:p>
    <w:p>
      <w:pPr>
        <w:tabs>
          <w:tab w:val="left" w:pos="426"/>
        </w:tabs>
        <w:ind w:left="0" w:right="0"/>
        <w:jc w:val="both"/>
        <w:rPr>
          <w:i/>
          <w:sz w:val="20"/>
          <w:szCs w:val="20"/>
        </w:rPr>
      </w:pPr>
      <w:r>
        <w:rPr>
          <w:i/>
          <w:sz w:val="20"/>
          <w:szCs w:val="20"/>
        </w:rPr>
        <w:t>Статья 5-ти и более авторов в журнале</w:t>
      </w:r>
    </w:p>
    <w:p>
      <w:pPr>
        <w:numPr>
          <w:ilvl w:val="0"/>
          <w:numId w:val="1"/>
        </w:numPr>
        <w:tabs>
          <w:tab w:val="left" w:pos="426"/>
        </w:tabs>
        <w:ind w:left="426" w:right="0" w:hanging="426"/>
        <w:contextualSpacing/>
        <w:jc w:val="both"/>
        <w:rPr>
          <w:rFonts w:eastAsia="Calibri"/>
          <w:sz w:val="24"/>
          <w:szCs w:val="24"/>
        </w:rPr>
      </w:pPr>
      <w:r>
        <w:rPr>
          <w:sz w:val="24"/>
          <w:szCs w:val="24"/>
        </w:rPr>
        <w:t>Модификация метода Ван дер Пау для измерения электрофизических параметров высокоомных полупроводников / А. Г. Белов, В. А. Голубятников, Ф. И. Григорьев [и др.] // Приборы и техника эксперимента. – 2014. – № 5. –     С. 115.</w:t>
      </w:r>
    </w:p>
    <w:p>
      <w:pPr>
        <w:tabs>
          <w:tab w:val="left" w:pos="426"/>
        </w:tabs>
        <w:ind w:left="426" w:right="0"/>
        <w:contextualSpacing/>
        <w:jc w:val="both"/>
        <w:rPr>
          <w:rFonts w:eastAsia="Calibri"/>
          <w:sz w:val="24"/>
          <w:szCs w:val="24"/>
        </w:rPr>
      </w:pPr>
    </w:p>
    <w:p>
      <w:pPr>
        <w:tabs>
          <w:tab w:val="left" w:pos="426"/>
        </w:tabs>
        <w:ind w:right="0"/>
        <w:contextualSpacing/>
        <w:jc w:val="both"/>
        <w:rPr>
          <w:rFonts w:eastAsia="Calibri"/>
          <w:i/>
          <w:sz w:val="20"/>
          <w:szCs w:val="20"/>
        </w:rPr>
      </w:pPr>
      <w:r>
        <w:rPr>
          <w:i/>
          <w:sz w:val="20"/>
          <w:szCs w:val="20"/>
        </w:rPr>
        <w:t>Статья в сборнике международной конференции</w:t>
      </w:r>
    </w:p>
    <w:p>
      <w:pPr>
        <w:pStyle w:val="9"/>
        <w:widowControl w:val="0"/>
        <w:numPr>
          <w:ilvl w:val="0"/>
          <w:numId w:val="1"/>
        </w:numPr>
        <w:tabs>
          <w:tab w:val="center" w:pos="4536"/>
          <w:tab w:val="right" w:pos="9639"/>
        </w:tabs>
        <w:ind w:left="426"/>
        <w:jc w:val="both"/>
        <w:rPr>
          <w:sz w:val="24"/>
          <w:szCs w:val="24"/>
          <w:lang w:val="en-US"/>
        </w:rPr>
      </w:pPr>
      <w:r>
        <w:rPr>
          <w:sz w:val="24"/>
          <w:szCs w:val="24"/>
          <w:lang w:val="en-US"/>
        </w:rPr>
        <w:t xml:space="preserve">Filippov V., Mitsuk S., Luzyanin S. Measuring the Resistance of Metal-Semiconductor Contacts Produced by Drop Electrochemical Method // Proceedings-2020 2nd International Conference on Control Systems, Mathematical Modeling, Automation and Energy Efficiency, SUMMA 2020: Virtual, Lipetsk, 10-13 </w:t>
      </w:r>
      <w:r>
        <w:rPr>
          <w:sz w:val="24"/>
          <w:szCs w:val="24"/>
        </w:rPr>
        <w:t>ноября</w:t>
      </w:r>
      <w:r>
        <w:rPr>
          <w:sz w:val="24"/>
          <w:szCs w:val="24"/>
          <w:lang w:val="en-US"/>
        </w:rPr>
        <w:t xml:space="preserve"> 2020 </w:t>
      </w:r>
      <w:r>
        <w:rPr>
          <w:sz w:val="24"/>
          <w:szCs w:val="24"/>
        </w:rPr>
        <w:t>г</w:t>
      </w:r>
      <w:r>
        <w:rPr>
          <w:sz w:val="24"/>
          <w:szCs w:val="24"/>
          <w:lang w:val="en-US"/>
        </w:rPr>
        <w:t>. – Lipetsk, 2020. – P. 871-875. – DOI 10.1109/SUMMA50634.2020.9280818.</w:t>
      </w:r>
    </w:p>
    <w:p>
      <w:pPr>
        <w:widowControl w:val="0"/>
        <w:tabs>
          <w:tab w:val="center" w:pos="4536"/>
          <w:tab w:val="right" w:pos="9639"/>
        </w:tabs>
        <w:ind w:left="66"/>
        <w:jc w:val="both"/>
        <w:rPr>
          <w:i/>
          <w:sz w:val="20"/>
          <w:szCs w:val="20"/>
          <w:lang w:val="en-US"/>
        </w:rPr>
      </w:pPr>
    </w:p>
    <w:p>
      <w:pPr>
        <w:widowControl w:val="0"/>
        <w:tabs>
          <w:tab w:val="center" w:pos="4536"/>
          <w:tab w:val="right" w:pos="9639"/>
        </w:tabs>
        <w:ind w:left="66"/>
        <w:jc w:val="both"/>
        <w:rPr>
          <w:i/>
          <w:sz w:val="20"/>
          <w:szCs w:val="20"/>
          <w:lang w:val="en-US"/>
        </w:rPr>
      </w:pPr>
      <w:r>
        <w:rPr>
          <w:i/>
          <w:sz w:val="20"/>
          <w:szCs w:val="20"/>
        </w:rPr>
        <w:t>Материалы конференции (ред. коллегия)</w:t>
      </w:r>
    </w:p>
    <w:p>
      <w:pPr>
        <w:pStyle w:val="9"/>
        <w:numPr>
          <w:ilvl w:val="0"/>
          <w:numId w:val="1"/>
        </w:numPr>
        <w:ind w:left="426" w:right="0"/>
        <w:jc w:val="both"/>
        <w:rPr>
          <w:sz w:val="24"/>
          <w:szCs w:val="24"/>
        </w:rPr>
      </w:pPr>
      <w:r>
        <w:rPr>
          <w:sz w:val="24"/>
          <w:szCs w:val="24"/>
        </w:rPr>
        <w:t>Кравченко К.В., Кузьмичева Е.А., Шахбазян Я.А. Компьютерное моделирование как средство обучения в среднем и общем образовании // Информационные технологии в образовательном процессе вуза и школы: Материалы ХV Всероссийской научно-практической конференции, Воронеж, 24 марта 2021 года / Редколлегия: Р.М. Чудинский (науч. ред.) [и др.]. – Воронеж: Воронежский государственный педагогический университет, 2021. – С. 227-230.</w:t>
      </w:r>
    </w:p>
    <w:p>
      <w:pPr>
        <w:pStyle w:val="9"/>
        <w:ind w:left="426" w:right="0"/>
        <w:jc w:val="both"/>
        <w:rPr>
          <w:sz w:val="24"/>
          <w:szCs w:val="24"/>
        </w:rPr>
      </w:pPr>
    </w:p>
    <w:p>
      <w:pPr>
        <w:widowControl w:val="0"/>
        <w:tabs>
          <w:tab w:val="center" w:pos="4536"/>
          <w:tab w:val="right" w:pos="9639"/>
        </w:tabs>
        <w:ind w:left="66"/>
        <w:jc w:val="both"/>
        <w:rPr>
          <w:i/>
          <w:sz w:val="20"/>
          <w:szCs w:val="20"/>
        </w:rPr>
      </w:pPr>
      <w:r>
        <w:rPr>
          <w:i/>
          <w:sz w:val="20"/>
          <w:szCs w:val="20"/>
        </w:rPr>
        <w:t>Учебное пособие коллектива авторов больше 4-х</w:t>
      </w:r>
    </w:p>
    <w:p>
      <w:pPr>
        <w:pStyle w:val="9"/>
        <w:numPr>
          <w:ilvl w:val="0"/>
          <w:numId w:val="1"/>
        </w:numPr>
        <w:shd w:val="clear" w:color="auto" w:fill="FFFFFF"/>
        <w:ind w:left="426" w:right="0"/>
        <w:jc w:val="both"/>
        <w:rPr>
          <w:sz w:val="24"/>
          <w:szCs w:val="24"/>
        </w:rPr>
      </w:pPr>
      <w:r>
        <w:rPr>
          <w:sz w:val="24"/>
          <w:szCs w:val="24"/>
        </w:rPr>
        <w:t>Основы изобретательской деятельности: учебное пособие / В.П. Тигров,    В.В. Тигров, Т.Н. Шипилова [и др.]. – Липецк: ЛГПУ имени П.П. Семенова-Тян-Шанского, 2018.</w:t>
      </w:r>
    </w:p>
    <w:p>
      <w:pPr>
        <w:pStyle w:val="9"/>
        <w:shd w:val="clear" w:color="auto" w:fill="FFFFFF"/>
        <w:ind w:left="426" w:right="0"/>
        <w:jc w:val="both"/>
        <w:rPr>
          <w:sz w:val="24"/>
          <w:szCs w:val="24"/>
        </w:rPr>
      </w:pPr>
    </w:p>
    <w:p>
      <w:pPr>
        <w:widowControl w:val="0"/>
        <w:tabs>
          <w:tab w:val="center" w:pos="4536"/>
          <w:tab w:val="right" w:pos="9639"/>
        </w:tabs>
        <w:ind w:left="66"/>
        <w:jc w:val="both"/>
        <w:rPr>
          <w:i/>
          <w:sz w:val="20"/>
          <w:szCs w:val="20"/>
        </w:rPr>
      </w:pPr>
      <w:r>
        <w:rPr>
          <w:i/>
          <w:sz w:val="20"/>
          <w:szCs w:val="20"/>
        </w:rPr>
        <w:t>Электронный ресурс (материал с сайта)</w:t>
      </w:r>
    </w:p>
    <w:p>
      <w:pPr>
        <w:pStyle w:val="9"/>
        <w:numPr>
          <w:ilvl w:val="0"/>
          <w:numId w:val="1"/>
        </w:numPr>
        <w:ind w:left="426" w:right="0"/>
        <w:jc w:val="both"/>
        <w:rPr>
          <w:sz w:val="24"/>
          <w:szCs w:val="24"/>
        </w:rPr>
      </w:pPr>
      <w:r>
        <w:rPr>
          <w:sz w:val="24"/>
          <w:szCs w:val="24"/>
        </w:rPr>
        <w:t>Урок – погружение [Электронный ресурс]. – URL: https://aujc.ru/urok-pogruzhenie/ (дата обращения: 24.09.2023).</w:t>
      </w:r>
    </w:p>
    <w:p>
      <w:pPr>
        <w:ind w:left="66" w:right="0"/>
        <w:jc w:val="both"/>
        <w:rPr>
          <w:sz w:val="24"/>
          <w:szCs w:val="24"/>
        </w:rPr>
      </w:pPr>
    </w:p>
    <w:p>
      <w:pPr>
        <w:ind w:left="66" w:right="0"/>
        <w:jc w:val="both"/>
        <w:rPr>
          <w:i/>
          <w:sz w:val="24"/>
          <w:szCs w:val="24"/>
        </w:rPr>
      </w:pPr>
      <w:r>
        <w:rPr>
          <w:i/>
          <w:sz w:val="24"/>
          <w:szCs w:val="24"/>
        </w:rPr>
        <w:t>Учебное пособие одного автора</w:t>
      </w:r>
    </w:p>
    <w:p>
      <w:pPr>
        <w:pStyle w:val="9"/>
        <w:numPr>
          <w:ilvl w:val="0"/>
          <w:numId w:val="1"/>
        </w:numPr>
        <w:ind w:left="426" w:right="0"/>
        <w:jc w:val="both"/>
        <w:rPr>
          <w:rFonts w:eastAsia="Times New Roman"/>
          <w:sz w:val="24"/>
          <w:szCs w:val="24"/>
          <w:lang w:eastAsia="ru-RU"/>
        </w:rPr>
      </w:pPr>
      <w:r>
        <w:rPr>
          <w:sz w:val="24"/>
          <w:szCs w:val="24"/>
        </w:rPr>
        <w:t xml:space="preserve"> Овчинникова Е.Е. Методика и технология обучения решению неравенств при подготовке к ЕГЭ и ОГЭ по математике. – Липецк: ЛГПУ имени П.П. Семенова-Тян-Шанского, 2020. – 83 с.</w:t>
      </w:r>
    </w:p>
    <w:p>
      <w:pPr>
        <w:tabs>
          <w:tab w:val="left" w:pos="426"/>
        </w:tabs>
        <w:ind w:left="66" w:right="0"/>
        <w:contextualSpacing/>
        <w:jc w:val="both"/>
        <w:rPr>
          <w:rFonts w:eastAsia="Calibri"/>
          <w:sz w:val="24"/>
          <w:szCs w:val="24"/>
        </w:rPr>
      </w:pPr>
    </w:p>
    <w:p>
      <w:pPr>
        <w:ind w:firstLine="709"/>
        <w:contextualSpacing/>
        <w:jc w:val="both"/>
        <w:rPr>
          <w:rFonts w:eastAsia="Calibri"/>
          <w:sz w:val="24"/>
          <w:szCs w:val="24"/>
        </w:rPr>
      </w:pPr>
    </w:p>
    <w:p>
      <w:pPr>
        <w:rPr>
          <w:rFonts w:eastAsia="Calibri"/>
        </w:rPr>
      </w:pPr>
      <w:r>
        <w:rPr>
          <w:rFonts w:eastAsia="Calibri"/>
        </w:rPr>
        <w:t xml:space="preserve"> </w:t>
      </w:r>
    </w:p>
    <w:p>
      <w:pPr>
        <w:ind w:firstLine="709"/>
        <w:contextualSpacing/>
        <w:jc w:val="center"/>
      </w:pPr>
    </w:p>
    <w:sectPr>
      <w:pgSz w:w="11906" w:h="16838"/>
      <w:pgMar w:top="1134" w:right="850" w:bottom="1134" w:left="1701"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Droid Sans Fallback">
    <w:panose1 w:val="020B0502000000000001"/>
    <w:charset w:val="86"/>
    <w:family w:val="auto"/>
    <w:pitch w:val="default"/>
    <w:sig w:usb0="910002FF" w:usb1="2BDFFCFB" w:usb2="00000036" w:usb3="00000000" w:csb0="203F01FF" w:csb1="D7FF0000"/>
  </w:font>
  <w:font w:name="Arial">
    <w:panose1 w:val="020B0604020202020204"/>
    <w:charset w:val="00"/>
    <w:family w:val="swiss"/>
    <w:pitch w:val="default"/>
    <w:sig w:usb0="00007A87" w:usb1="80000000" w:usb2="00000008" w:usb3="00000000" w:csb0="400001FF" w:csb1="FFFF0000"/>
  </w:font>
  <w:font w:name="Courier New">
    <w:panose1 w:val="02070309020205020404"/>
    <w:charset w:val="00"/>
    <w:family w:val="modern"/>
    <w:pitch w:val="default"/>
    <w:sig w:usb0="00007A87" w:usb1="80000000" w:usb2="00000008" w:usb3="00000000" w:csb0="400001FF" w:csb1="FFFF0000"/>
  </w:font>
  <w:font w:name="黑体">
    <w:altName w:val="Droid Sans Fallback"/>
    <w:panose1 w:val="02010609060101010101"/>
    <w:charset w:val="00"/>
    <w:family w:val="modern"/>
    <w:pitch w:val="default"/>
    <w:sig w:usb0="800002BF" w:usb1="38CF7CFA" w:usb2="00000016" w:usb3="00000000" w:csb0="00040001" w:csb1="00000000"/>
  </w:font>
  <w:font w:name="Wingdings">
    <w:altName w:val="EB Garamond 12"/>
    <w:panose1 w:val="05000000000000000000"/>
    <w:charset w:val="00"/>
    <w:family w:val="auto"/>
    <w:pitch w:val="default"/>
    <w:sig w:usb0="00000000" w:usb1="00000000" w:usb2="00000000" w:usb3="00000000" w:csb0="80000000" w:csb1="00000000"/>
  </w:font>
  <w:font w:name="EB Garamond 12">
    <w:panose1 w:val="02020502060206020403"/>
    <w:charset w:val="00"/>
    <w:family w:val="auto"/>
    <w:pitch w:val="default"/>
    <w:sig w:usb0="E00002FF" w:usb1="5000E4FF" w:usb2="00000028" w:usb3="00000000" w:csb0="0000019F" w:csb1="00000000"/>
  </w:font>
  <w:font w:name="Calibri">
    <w:altName w:val="Trebuchet MS"/>
    <w:panose1 w:val="020F0502020204030204"/>
    <w:charset w:val="86"/>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SimSun">
    <w:altName w:val="Droid Sans Fallback"/>
    <w:panose1 w:val="02010600030101010101"/>
    <w:charset w:val="86"/>
    <w:family w:val="auto"/>
    <w:pitch w:val="default"/>
    <w:sig w:usb0="00000000" w:usb1="00000000" w:usb2="00000010" w:usb3="00000000" w:csb0="00040001" w:csb1="00000000"/>
  </w:font>
  <w:font w:name="+ Основной текст">
    <w:altName w:val="Comfortaa Light"/>
    <w:panose1 w:val="00000000000000000000"/>
    <w:charset w:val="00"/>
    <w:family w:val="auto"/>
    <w:pitch w:val="default"/>
    <w:sig w:usb0="00000000" w:usb1="00000000" w:usb2="00000000" w:usb3="00000000" w:csb0="00000000" w:csb1="00000000"/>
  </w:font>
  <w:font w:name="Comfortaa Light">
    <w:panose1 w:val="00000400000000000000"/>
    <w:charset w:val="00"/>
    <w:family w:val="auto"/>
    <w:pitch w:val="default"/>
    <w:sig w:usb0="20000287" w:usb1="00000002" w:usb2="00000000" w:usb3="00000000" w:csb0="2000019F" w:csb1="00000000"/>
  </w:font>
  <w:font w:name="Calibri">
    <w:altName w:val="Trebuchet MS"/>
    <w:panose1 w:val="020F0502020204030204"/>
    <w:charset w:val="CC"/>
    <w:family w:val="swiss"/>
    <w:pitch w:val="default"/>
    <w:sig w:usb0="00000000" w:usb1="00000000" w:usb2="00000009" w:usb3="00000000" w:csb0="000001FF" w:csb1="00000000"/>
  </w:font>
  <w:font w:name="Calibri">
    <w:altName w:val="Trebuchet MS"/>
    <w:panose1 w:val="00000000000000000000"/>
    <w:charset w:val="00"/>
    <w:family w:val="auto"/>
    <w:pitch w:val="default"/>
    <w:sig w:usb0="00000000" w:usb1="00000000" w:usb2="00000000" w:usb3="00000000" w:csb0="00000000" w:csb1="00000000"/>
  </w:font>
  <w:font w:name="Tahoma">
    <w:altName w:val="DejaVu Sans"/>
    <w:panose1 w:val="020B0604030504040204"/>
    <w:charset w:val="CC"/>
    <w:family w:val="swiss"/>
    <w:pitch w:val="default"/>
    <w:sig w:usb0="00000000" w:usb1="00000000" w:usb2="00000029" w:usb3="00000000" w:csb0="000101FF" w:csb1="00000000"/>
  </w:font>
  <w:font w:name="DejaVu Sans">
    <w:panose1 w:val="020B0606030804020204"/>
    <w:charset w:val="00"/>
    <w:family w:val="auto"/>
    <w:pitch w:val="default"/>
    <w:sig w:usb0="E7006EFF" w:usb1="D200FDFF" w:usb2="0A246029" w:usb3="0400200C" w:csb0="600001FF" w:csb1="DFFF0000"/>
  </w:font>
  <w:font w:name="Symbol">
    <w:altName w:val="Webdings"/>
    <w:panose1 w:val="05050102010706020507"/>
    <w:charset w:val="02"/>
    <w:family w:val="roman"/>
    <w:pitch w:val="default"/>
    <w:sig w:usb0="00000000" w:usb1="00000000" w:usb2="00000000" w:usb3="00000000" w:csb0="80000000" w:csb1="00000000"/>
  </w:font>
  <w:font w:name="Webdings">
    <w:panose1 w:val="05030102010509060703"/>
    <w:charset w:val="00"/>
    <w:family w:val="auto"/>
    <w:pitch w:val="default"/>
    <w:sig w:usb0="00000000" w:usb1="00000000" w:usb2="00000000" w:usb3="00000000" w:csb0="80000000" w:csb1="00000000"/>
  </w:font>
  <w:font w:name="Courier New">
    <w:panose1 w:val="02070309020205020404"/>
    <w:charset w:val="CC"/>
    <w:family w:val="modern"/>
    <w:pitch w:val="default"/>
    <w:sig w:usb0="00007A87" w:usb1="80000000" w:usb2="00000008" w:usb3="00000000" w:csb0="400001FF" w:csb1="FFFF0000"/>
  </w:font>
  <w:font w:name="Wingdings">
    <w:altName w:val="OpenSymbol"/>
    <w:panose1 w:val="05000000000000000000"/>
    <w:charset w:val="02"/>
    <w:family w:val="auto"/>
    <w:pitch w:val="default"/>
    <w:sig w:usb0="00000000" w:usb1="00000000" w:usb2="00000000" w:usb3="00000000" w:csb0="80000000" w:csb1="00000000"/>
  </w:font>
  <w:font w:name="OpenSymbol">
    <w:panose1 w:val="05010000000000000000"/>
    <w:charset w:val="00"/>
    <w:family w:val="auto"/>
    <w:pitch w:val="default"/>
    <w:sig w:usb0="800000AF" w:usb1="1001ECEA" w:usb2="00000000" w:usb3="00000000" w:csb0="80000001" w:csb1="00000000"/>
  </w:font>
  <w:font w:name="Arial">
    <w:panose1 w:val="020B0604020202020204"/>
    <w:charset w:val="CC"/>
    <w:family w:val="swiss"/>
    <w:pitch w:val="default"/>
    <w:sig w:usb0="00007A87" w:usb1="80000000" w:usb2="00000008" w:usb3="00000000" w:csb0="400001FF" w:csb1="F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80F60C7"/>
    <w:multiLevelType w:val="multilevel"/>
    <w:tmpl w:val="680F60C7"/>
    <w:lvl w:ilvl="0" w:tentative="0">
      <w:start w:val="1"/>
      <w:numFmt w:val="decimal"/>
      <w:lvlText w:val="%1."/>
      <w:lvlJc w:val="left"/>
      <w:pPr>
        <w:ind w:left="1352" w:hanging="360"/>
      </w:pPr>
    </w:lvl>
    <w:lvl w:ilvl="1" w:tentative="0">
      <w:start w:val="1"/>
      <w:numFmt w:val="lowerLetter"/>
      <w:lvlText w:val="%2."/>
      <w:lvlJc w:val="left"/>
      <w:pPr>
        <w:ind w:left="2072" w:hanging="360"/>
      </w:pPr>
    </w:lvl>
    <w:lvl w:ilvl="2" w:tentative="0">
      <w:start w:val="1"/>
      <w:numFmt w:val="lowerRoman"/>
      <w:lvlText w:val="%3."/>
      <w:lvlJc w:val="right"/>
      <w:pPr>
        <w:ind w:left="2792" w:hanging="180"/>
      </w:pPr>
    </w:lvl>
    <w:lvl w:ilvl="3" w:tentative="0">
      <w:start w:val="1"/>
      <w:numFmt w:val="decimal"/>
      <w:lvlText w:val="%4."/>
      <w:lvlJc w:val="left"/>
      <w:pPr>
        <w:ind w:left="3512" w:hanging="360"/>
      </w:pPr>
    </w:lvl>
    <w:lvl w:ilvl="4" w:tentative="0">
      <w:start w:val="1"/>
      <w:numFmt w:val="lowerLetter"/>
      <w:lvlText w:val="%5."/>
      <w:lvlJc w:val="left"/>
      <w:pPr>
        <w:ind w:left="4232" w:hanging="360"/>
      </w:pPr>
    </w:lvl>
    <w:lvl w:ilvl="5" w:tentative="0">
      <w:start w:val="1"/>
      <w:numFmt w:val="lowerRoman"/>
      <w:lvlText w:val="%6."/>
      <w:lvlJc w:val="right"/>
      <w:pPr>
        <w:ind w:left="4952" w:hanging="180"/>
      </w:pPr>
    </w:lvl>
    <w:lvl w:ilvl="6" w:tentative="0">
      <w:start w:val="1"/>
      <w:numFmt w:val="decimal"/>
      <w:lvlText w:val="%7."/>
      <w:lvlJc w:val="left"/>
      <w:pPr>
        <w:ind w:left="5672" w:hanging="360"/>
      </w:pPr>
    </w:lvl>
    <w:lvl w:ilvl="7" w:tentative="0">
      <w:start w:val="1"/>
      <w:numFmt w:val="lowerLetter"/>
      <w:lvlText w:val="%8."/>
      <w:lvlJc w:val="left"/>
      <w:pPr>
        <w:ind w:left="6392" w:hanging="360"/>
      </w:pPr>
    </w:lvl>
    <w:lvl w:ilvl="8" w:tentative="0">
      <w:start w:val="1"/>
      <w:numFmt w:val="lowerRoman"/>
      <w:lvlText w:val="%9."/>
      <w:lvlJc w:val="right"/>
      <w:pPr>
        <w:ind w:left="711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2"/>
  </w:compat>
  <w:rsids>
    <w:rsidRoot w:val="004648F0"/>
    <w:rsid w:val="000067CB"/>
    <w:rsid w:val="000160B5"/>
    <w:rsid w:val="000439A6"/>
    <w:rsid w:val="00053F26"/>
    <w:rsid w:val="00092F08"/>
    <w:rsid w:val="000B3CBA"/>
    <w:rsid w:val="000E077D"/>
    <w:rsid w:val="00121187"/>
    <w:rsid w:val="00144C9D"/>
    <w:rsid w:val="00155796"/>
    <w:rsid w:val="001613F9"/>
    <w:rsid w:val="0018567A"/>
    <w:rsid w:val="001D71B1"/>
    <w:rsid w:val="00295549"/>
    <w:rsid w:val="002B3473"/>
    <w:rsid w:val="002C0992"/>
    <w:rsid w:val="002F297C"/>
    <w:rsid w:val="00305583"/>
    <w:rsid w:val="00352D69"/>
    <w:rsid w:val="00395C74"/>
    <w:rsid w:val="003C7876"/>
    <w:rsid w:val="003E3B91"/>
    <w:rsid w:val="00414716"/>
    <w:rsid w:val="004648F0"/>
    <w:rsid w:val="004A0030"/>
    <w:rsid w:val="005031AC"/>
    <w:rsid w:val="00515ADC"/>
    <w:rsid w:val="005576E0"/>
    <w:rsid w:val="00583E28"/>
    <w:rsid w:val="00584265"/>
    <w:rsid w:val="005A5404"/>
    <w:rsid w:val="005F492C"/>
    <w:rsid w:val="006113E4"/>
    <w:rsid w:val="006B14E6"/>
    <w:rsid w:val="006F35CE"/>
    <w:rsid w:val="0070390A"/>
    <w:rsid w:val="00703E25"/>
    <w:rsid w:val="00732E10"/>
    <w:rsid w:val="00736978"/>
    <w:rsid w:val="00753D1D"/>
    <w:rsid w:val="007D03DA"/>
    <w:rsid w:val="00893ACC"/>
    <w:rsid w:val="008B0144"/>
    <w:rsid w:val="0091027A"/>
    <w:rsid w:val="009B01EC"/>
    <w:rsid w:val="009C6167"/>
    <w:rsid w:val="00A4468C"/>
    <w:rsid w:val="00AF25CF"/>
    <w:rsid w:val="00B251E9"/>
    <w:rsid w:val="00B52AC1"/>
    <w:rsid w:val="00C16564"/>
    <w:rsid w:val="00C31979"/>
    <w:rsid w:val="00CB6E09"/>
    <w:rsid w:val="00CE3D44"/>
    <w:rsid w:val="00D26180"/>
    <w:rsid w:val="00D275A9"/>
    <w:rsid w:val="00D87632"/>
    <w:rsid w:val="00D92F11"/>
    <w:rsid w:val="00D94DEC"/>
    <w:rsid w:val="00DD0D0B"/>
    <w:rsid w:val="00DE46E4"/>
    <w:rsid w:val="00E25AE1"/>
    <w:rsid w:val="00ED417E"/>
    <w:rsid w:val="00ED4C5B"/>
    <w:rsid w:val="00EE60C9"/>
    <w:rsid w:val="00F62CAF"/>
    <w:rsid w:val="00F7022D"/>
    <w:rsid w:val="00F71D27"/>
    <w:rsid w:val="00F805CA"/>
    <w:rsid w:val="00F9432D"/>
    <w:rsid w:val="00FA0DAB"/>
    <w:rsid w:val="77FBA25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34" w:semiHidden="0" w:name="List Paragraph"/>
  </w:latentStyles>
  <w:style w:type="paragraph" w:default="1" w:styleId="1">
    <w:name w:val="Normal"/>
    <w:qFormat/>
    <w:uiPriority w:val="0"/>
    <w:pPr>
      <w:spacing w:after="0" w:line="240" w:lineRule="auto"/>
      <w:ind w:left="57" w:right="57"/>
    </w:pPr>
    <w:rPr>
      <w:rFonts w:ascii="Times New Roman" w:hAnsi="Times New Roman" w:cs="Times New Roman" w:eastAsiaTheme="minorHAnsi"/>
      <w:sz w:val="28"/>
      <w:szCs w:val="28"/>
      <w:lang w:val="ru-RU" w:eastAsia="en-US" w:bidi="ar-SA"/>
    </w:rPr>
  </w:style>
  <w:style w:type="paragraph" w:styleId="2">
    <w:name w:val="heading 1"/>
    <w:basedOn w:val="1"/>
    <w:next w:val="1"/>
    <w:link w:val="10"/>
    <w:qFormat/>
    <w:uiPriority w:val="99"/>
    <w:pPr>
      <w:spacing w:after="100" w:afterAutospacing="1"/>
      <w:ind w:left="0" w:right="0"/>
      <w:outlineLvl w:val="0"/>
    </w:pPr>
    <w:rPr>
      <w:rFonts w:eastAsia="Times New Roman"/>
      <w:b/>
      <w:bCs/>
      <w:kern w:val="36"/>
      <w:lang w:eastAsia="ru-RU"/>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styleId="5">
    <w:name w:val="Hyperlink"/>
    <w:unhideWhenUsed/>
    <w:qFormat/>
    <w:uiPriority w:val="0"/>
    <w:rPr>
      <w:color w:val="0000FF"/>
      <w:u w:val="single"/>
    </w:rPr>
  </w:style>
  <w:style w:type="paragraph" w:styleId="6">
    <w:name w:val="Balloon Text"/>
    <w:basedOn w:val="1"/>
    <w:link w:val="13"/>
    <w:semiHidden/>
    <w:unhideWhenUsed/>
    <w:qFormat/>
    <w:uiPriority w:val="99"/>
    <w:rPr>
      <w:rFonts w:ascii="Tahoma" w:hAnsi="Tahoma" w:cs="Tahoma"/>
      <w:sz w:val="16"/>
      <w:szCs w:val="16"/>
    </w:rPr>
  </w:style>
  <w:style w:type="paragraph" w:styleId="7">
    <w:name w:val="Normal (Web)"/>
    <w:basedOn w:val="1"/>
    <w:semiHidden/>
    <w:unhideWhenUsed/>
    <w:qFormat/>
    <w:uiPriority w:val="99"/>
    <w:pPr>
      <w:spacing w:before="100" w:beforeAutospacing="1" w:after="100" w:afterAutospacing="1"/>
      <w:ind w:left="0" w:right="0"/>
    </w:pPr>
    <w:rPr>
      <w:rFonts w:eastAsia="Times New Roman"/>
      <w:sz w:val="24"/>
      <w:szCs w:val="24"/>
      <w:lang w:eastAsia="ru-RU"/>
    </w:rPr>
  </w:style>
  <w:style w:type="table" w:styleId="8">
    <w:name w:val="Table Grid"/>
    <w:basedOn w:val="4"/>
    <w:qFormat/>
    <w:uiPriority w:val="59"/>
    <w:pPr>
      <w:widowControl w:val="0"/>
      <w:spacing w:after="0" w:line="240" w:lineRule="auto"/>
      <w:jc w:val="both"/>
    </w:pPr>
    <w:rPr>
      <w:rFonts w:ascii="Times New Roman" w:hAnsi="Times New Roman" w:eastAsia="SimSun" w:cs="Times New Roman"/>
      <w:sz w:val="20"/>
      <w:szCs w:val="20"/>
      <w:lang w:eastAsia="ru-R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link w:val="11"/>
    <w:qFormat/>
    <w:uiPriority w:val="34"/>
    <w:pPr>
      <w:ind w:left="720"/>
      <w:contextualSpacing/>
    </w:pPr>
  </w:style>
  <w:style w:type="character" w:customStyle="1" w:styleId="10">
    <w:name w:val="Заголовок 1 Знак"/>
    <w:basedOn w:val="3"/>
    <w:link w:val="2"/>
    <w:qFormat/>
    <w:uiPriority w:val="99"/>
    <w:rPr>
      <w:rFonts w:ascii="Times New Roman" w:hAnsi="Times New Roman" w:eastAsia="Times New Roman" w:cs="Times New Roman"/>
      <w:b/>
      <w:bCs/>
      <w:kern w:val="36"/>
      <w:sz w:val="28"/>
      <w:szCs w:val="28"/>
      <w:lang w:eastAsia="ru-RU"/>
    </w:rPr>
  </w:style>
  <w:style w:type="character" w:customStyle="1" w:styleId="11">
    <w:name w:val="Абзац списка Знак"/>
    <w:link w:val="9"/>
    <w:qFormat/>
    <w:locked/>
    <w:uiPriority w:val="34"/>
    <w:rPr>
      <w:rFonts w:ascii="Times New Roman" w:hAnsi="Times New Roman" w:cs="Times New Roman"/>
      <w:sz w:val="28"/>
      <w:szCs w:val="28"/>
    </w:rPr>
  </w:style>
  <w:style w:type="paragraph" w:customStyle="1" w:styleId="12">
    <w:name w:val="List Paragraph1"/>
    <w:basedOn w:val="1"/>
    <w:qFormat/>
    <w:uiPriority w:val="0"/>
    <w:pPr>
      <w:spacing w:after="200" w:line="276" w:lineRule="auto"/>
      <w:ind w:left="720" w:right="0"/>
    </w:pPr>
    <w:rPr>
      <w:rFonts w:ascii="Calibri" w:hAnsi="Calibri" w:eastAsia="Times New Roman"/>
      <w:sz w:val="22"/>
      <w:szCs w:val="22"/>
      <w:lang w:eastAsia="ru-RU"/>
    </w:rPr>
  </w:style>
  <w:style w:type="character" w:customStyle="1" w:styleId="13">
    <w:name w:val="Текст выноски Знак"/>
    <w:basedOn w:val="3"/>
    <w:link w:val="6"/>
    <w:semiHidden/>
    <w:qFormat/>
    <w:uiPriority w:val="99"/>
    <w:rPr>
      <w:rFonts w:ascii="Tahoma" w:hAnsi="Tahoma" w:cs="Tahoma"/>
      <w:sz w:val="16"/>
      <w:szCs w:val="16"/>
    </w:rPr>
  </w:style>
  <w:style w:type="character" w:styleId="14">
    <w:name w:val="Placeholder Text"/>
    <w:basedOn w:val="3"/>
    <w:semiHidden/>
    <w:qFormat/>
    <w:uiPriority w:val="99"/>
    <w:rPr>
      <w:color w:val="80808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ФГБОУ ВПО ЛГПУ</Company>
  <Pages>8</Pages>
  <Words>2307</Words>
  <Characters>13155</Characters>
  <Lines>109</Lines>
  <Paragraphs>30</Paragraphs>
  <TotalTime>820</TotalTime>
  <ScaleCrop>false</ScaleCrop>
  <LinksUpToDate>false</LinksUpToDate>
  <CharactersWithSpaces>15432</CharactersWithSpaces>
  <Application>WPS Office_11.1.0.11698_F1E327BC-269C-435d-A152-05C5408002CA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2024-02-28T09:23:00Z</dcterms:created>
  <dc:creator>Ирина</dc:creator>
  <cp:lastModifiedBy>Kalitvin</cp:lastModifiedBy>
  <cp:lastPrinted>2024-03-04T22:10:00Z</cp:lastPrinted>
  <dcterms:modified xsi:type="dcterms:W3CDTF">2024-03-13T07:54:43Z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1049-11.1.0.11698</vt:lpwstr>
  </property>
</Properties>
</file>